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FD6BB" w14:textId="27236876" w:rsidR="00BE2470" w:rsidRPr="00703BBA" w:rsidRDefault="006C78D1" w:rsidP="00703BBA">
      <w:pPr>
        <w:widowControl w:val="0"/>
        <w:pBdr>
          <w:top w:val="nil"/>
          <w:left w:val="nil"/>
          <w:bottom w:val="nil"/>
          <w:right w:val="nil"/>
          <w:between w:val="nil"/>
        </w:pBdr>
        <w:spacing w:after="0" w:line="240" w:lineRule="auto"/>
        <w:rPr>
          <w:rFonts w:ascii="Times New Roman" w:hAnsi="Times New Roman" w:cs="Times New Roman"/>
        </w:rPr>
      </w:pPr>
      <w:r>
        <w:rPr>
          <w:rFonts w:ascii="Times New Roman" w:hAnsi="Times New Roman" w:cs="Times New Roman"/>
          <w:noProof/>
        </w:rPr>
      </w:r>
      <w:r w:rsidR="006C78D1">
        <w:rPr>
          <w:rFonts w:ascii="Times New Roman" w:hAnsi="Times New Roman" w:cs="Times New Roman"/>
          <w:noProof/>
        </w:rPr>
        <w:pict w14:anchorId="3B812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0pt;height:50pt;z-index:251658240;visibility:hidden;mso-wrap-edited:f;mso-width-percent:0;mso-height-percent:0;mso-width-percent:0;mso-height-percent:0">
            <o:lock v:ext="edit" selection="t"/>
          </v:shape>
        </w:pict>
      </w:r>
      <w:r>
        <w:rPr>
          <w:rFonts w:ascii="Times New Roman" w:hAnsi="Times New Roman" w:cs="Times New Roman"/>
          <w:noProof/>
        </w:rPr>
      </w:r>
      <w:r w:rsidR="006C78D1">
        <w:rPr>
          <w:rFonts w:ascii="Times New Roman" w:hAnsi="Times New Roman" w:cs="Times New Roman"/>
          <w:noProof/>
        </w:rPr>
        <w:pict w14:anchorId="7C3EFD31">
          <v:shape id="_x0000_s1026" type="#_x0000_t136" alt="" style="position:absolute;margin-left:0;margin-top:0;width:50pt;height:50pt;z-index:251658241;visibility:hidden;mso-wrap-edited:f;mso-width-percent:0;mso-height-percent:0;mso-width-percent:0;mso-height-percent:0">
            <o:lock v:ext="edit" selection="t"/>
          </v:shape>
        </w:pict>
      </w:r>
      <w:r w:rsidR="00E937BC" w:rsidRPr="00703BBA">
        <w:rPr>
          <w:rFonts w:ascii="Times New Roman" w:eastAsia="Times New Roman" w:hAnsi="Times New Roman" w:cs="Times New Roman"/>
          <w:color w:val="000000"/>
        </w:rPr>
        <w:t>June</w:t>
      </w:r>
      <w:r w:rsidR="00840848" w:rsidRPr="00703BBA">
        <w:rPr>
          <w:rFonts w:ascii="Times New Roman" w:eastAsia="Times New Roman" w:hAnsi="Times New Roman" w:cs="Times New Roman"/>
          <w:color w:val="000000"/>
        </w:rPr>
        <w:t xml:space="preserve"> </w:t>
      </w:r>
      <w:r w:rsidR="00E937BC" w:rsidRPr="00703BBA">
        <w:rPr>
          <w:rFonts w:ascii="Times New Roman" w:eastAsia="Times New Roman" w:hAnsi="Times New Roman" w:cs="Times New Roman"/>
          <w:color w:val="000000"/>
        </w:rPr>
        <w:t>30</w:t>
      </w:r>
      <w:r w:rsidR="00591AA2" w:rsidRPr="00703BBA">
        <w:rPr>
          <w:rFonts w:ascii="Times New Roman" w:eastAsia="Times New Roman" w:hAnsi="Times New Roman" w:cs="Times New Roman"/>
          <w:color w:val="000000"/>
        </w:rPr>
        <w:t>, 202</w:t>
      </w:r>
      <w:r w:rsidR="00E937BC" w:rsidRPr="00703BBA">
        <w:rPr>
          <w:rFonts w:ascii="Times New Roman" w:eastAsia="Times New Roman" w:hAnsi="Times New Roman" w:cs="Times New Roman"/>
          <w:color w:val="000000"/>
        </w:rPr>
        <w:t>5</w:t>
      </w:r>
    </w:p>
    <w:p w14:paraId="2882E8D9" w14:textId="77777777" w:rsidR="00840848" w:rsidRPr="00750DAE" w:rsidRDefault="00840848" w:rsidP="00A03AB8">
      <w:pPr>
        <w:spacing w:after="0" w:line="240" w:lineRule="auto"/>
        <w:rPr>
          <w:rFonts w:ascii="Times New Roman" w:eastAsia="Times New Roman" w:hAnsi="Times New Roman" w:cs="Times New Roman"/>
        </w:rPr>
      </w:pPr>
    </w:p>
    <w:p w14:paraId="4C6EF250" w14:textId="79E00730" w:rsidR="00BE2470" w:rsidRPr="00750DAE" w:rsidRDefault="00475D68" w:rsidP="00A03AB8">
      <w:pPr>
        <w:spacing w:after="0" w:line="240" w:lineRule="auto"/>
        <w:rPr>
          <w:rFonts w:ascii="Times New Roman" w:eastAsia="Times New Roman" w:hAnsi="Times New Roman" w:cs="Times New Roman"/>
        </w:rPr>
      </w:pPr>
      <w:r w:rsidRPr="00750DAE">
        <w:rPr>
          <w:rFonts w:ascii="Times New Roman" w:eastAsia="Times New Roman" w:hAnsi="Times New Roman" w:cs="Times New Roman"/>
        </w:rPr>
        <w:t>Department of Treasury</w:t>
      </w:r>
    </w:p>
    <w:p w14:paraId="7C6E2377" w14:textId="77777777" w:rsidR="001D1CD0" w:rsidRPr="00750DAE" w:rsidRDefault="001D1CD0" w:rsidP="00A03AB8">
      <w:pPr>
        <w:spacing w:after="0" w:line="240" w:lineRule="auto"/>
        <w:rPr>
          <w:rFonts w:ascii="Times New Roman" w:eastAsia="Times New Roman" w:hAnsi="Times New Roman" w:cs="Times New Roman"/>
        </w:rPr>
      </w:pPr>
      <w:r w:rsidRPr="00750DAE">
        <w:rPr>
          <w:rFonts w:ascii="Times New Roman" w:eastAsia="Times New Roman" w:hAnsi="Times New Roman" w:cs="Times New Roman"/>
        </w:rPr>
        <w:t xml:space="preserve">1500 Pennsylvania Avenue, NW </w:t>
      </w:r>
    </w:p>
    <w:p w14:paraId="069A5AC8" w14:textId="51EFED44" w:rsidR="00BE2470" w:rsidRPr="00750DAE" w:rsidRDefault="001D1CD0" w:rsidP="00A03AB8">
      <w:pPr>
        <w:spacing w:after="0" w:line="240" w:lineRule="auto"/>
        <w:rPr>
          <w:rFonts w:ascii="Times New Roman" w:eastAsia="Times New Roman" w:hAnsi="Times New Roman" w:cs="Times New Roman"/>
        </w:rPr>
      </w:pPr>
      <w:r w:rsidRPr="00750DAE">
        <w:rPr>
          <w:rFonts w:ascii="Times New Roman" w:eastAsia="Times New Roman" w:hAnsi="Times New Roman" w:cs="Times New Roman"/>
        </w:rPr>
        <w:t>Washington, D.C. 20220</w:t>
      </w:r>
    </w:p>
    <w:p w14:paraId="25FAAA32" w14:textId="77777777" w:rsidR="001D1CD0" w:rsidRPr="00750DAE" w:rsidRDefault="001D1CD0" w:rsidP="00A03AB8">
      <w:pPr>
        <w:spacing w:after="0" w:line="240" w:lineRule="auto"/>
        <w:rPr>
          <w:rFonts w:ascii="Times New Roman" w:eastAsia="Times New Roman" w:hAnsi="Times New Roman" w:cs="Times New Roman"/>
          <w:i/>
          <w:iCs/>
        </w:rPr>
      </w:pPr>
    </w:p>
    <w:p w14:paraId="7ABA1270" w14:textId="0CADB400" w:rsidR="00840848" w:rsidRPr="00750DAE" w:rsidRDefault="00E937BC" w:rsidP="00A03AB8">
      <w:pPr>
        <w:pStyle w:val="p1"/>
        <w:rPr>
          <w:rFonts w:ascii="Times New Roman" w:hAnsi="Times New Roman"/>
          <w:color w:val="auto"/>
          <w:sz w:val="22"/>
          <w:szCs w:val="22"/>
        </w:rPr>
      </w:pPr>
      <w:r w:rsidRPr="00750DAE">
        <w:rPr>
          <w:rFonts w:ascii="Times New Roman" w:hAnsi="Times New Roman"/>
          <w:i/>
          <w:iCs/>
          <w:sz w:val="22"/>
          <w:szCs w:val="22"/>
        </w:rPr>
        <w:t>Submitted</w:t>
      </w:r>
      <w:r w:rsidR="00840848" w:rsidRPr="00750DAE">
        <w:rPr>
          <w:rFonts w:ascii="Times New Roman" w:hAnsi="Times New Roman"/>
          <w:i/>
          <w:iCs/>
          <w:sz w:val="22"/>
          <w:szCs w:val="22"/>
        </w:rPr>
        <w:t xml:space="preserve"> </w:t>
      </w:r>
      <w:r w:rsidR="001D427E" w:rsidRPr="00750DAE">
        <w:rPr>
          <w:rFonts w:ascii="Times New Roman" w:hAnsi="Times New Roman"/>
          <w:i/>
          <w:iCs/>
          <w:sz w:val="22"/>
          <w:szCs w:val="22"/>
        </w:rPr>
        <w:t xml:space="preserve">electronically </w:t>
      </w:r>
      <w:r w:rsidR="007B6927" w:rsidRPr="00750DAE">
        <w:rPr>
          <w:rFonts w:ascii="Times New Roman" w:hAnsi="Times New Roman"/>
          <w:i/>
          <w:iCs/>
          <w:sz w:val="22"/>
          <w:szCs w:val="22"/>
        </w:rPr>
        <w:t>via</w:t>
      </w:r>
      <w:r w:rsidR="00266E6C" w:rsidRPr="00750DAE">
        <w:rPr>
          <w:rFonts w:ascii="Times New Roman" w:hAnsi="Times New Roman"/>
          <w:i/>
          <w:iCs/>
          <w:sz w:val="22"/>
          <w:szCs w:val="22"/>
        </w:rPr>
        <w:t xml:space="preserve"> the </w:t>
      </w:r>
      <w:r w:rsidRPr="00750DAE">
        <w:rPr>
          <w:rFonts w:ascii="Times New Roman" w:hAnsi="Times New Roman"/>
          <w:i/>
          <w:iCs/>
          <w:sz w:val="22"/>
          <w:szCs w:val="22"/>
        </w:rPr>
        <w:t xml:space="preserve">Federal </w:t>
      </w:r>
      <w:proofErr w:type="spellStart"/>
      <w:r w:rsidRPr="00750DAE">
        <w:rPr>
          <w:rFonts w:ascii="Times New Roman" w:hAnsi="Times New Roman"/>
          <w:i/>
          <w:iCs/>
          <w:sz w:val="22"/>
          <w:szCs w:val="22"/>
        </w:rPr>
        <w:t>eRulemaking</w:t>
      </w:r>
      <w:proofErr w:type="spellEnd"/>
      <w:r w:rsidRPr="00750DAE">
        <w:rPr>
          <w:rFonts w:ascii="Times New Roman" w:hAnsi="Times New Roman"/>
          <w:i/>
          <w:iCs/>
          <w:sz w:val="22"/>
          <w:szCs w:val="22"/>
        </w:rPr>
        <w:t xml:space="preserve"> Portal</w:t>
      </w:r>
    </w:p>
    <w:p w14:paraId="0FB1C747" w14:textId="77777777" w:rsidR="00840848" w:rsidRPr="00750DAE" w:rsidRDefault="00840848" w:rsidP="00A03AB8">
      <w:pPr>
        <w:spacing w:after="0" w:line="240" w:lineRule="auto"/>
        <w:jc w:val="both"/>
        <w:rPr>
          <w:rFonts w:ascii="Times New Roman" w:hAnsi="Times New Roman" w:cs="Times New Roman"/>
          <w:b/>
          <w:color w:val="000000"/>
        </w:rPr>
      </w:pPr>
    </w:p>
    <w:p w14:paraId="5C2E372E" w14:textId="14B45C1C" w:rsidR="00840848" w:rsidRPr="00750DAE" w:rsidRDefault="00840848" w:rsidP="00A03AB8">
      <w:pPr>
        <w:spacing w:after="0" w:line="240" w:lineRule="auto"/>
        <w:jc w:val="both"/>
        <w:rPr>
          <w:rFonts w:ascii="Times New Roman" w:hAnsi="Times New Roman" w:cs="Times New Roman"/>
          <w:b/>
          <w:color w:val="000000"/>
        </w:rPr>
      </w:pPr>
      <w:r w:rsidRPr="00750DAE">
        <w:rPr>
          <w:rFonts w:ascii="Times New Roman" w:hAnsi="Times New Roman" w:cs="Times New Roman"/>
          <w:b/>
          <w:color w:val="000000"/>
        </w:rPr>
        <w:t xml:space="preserve">Re: </w:t>
      </w:r>
      <w:r w:rsidR="001B4E1C" w:rsidRPr="00750DAE">
        <w:rPr>
          <w:rFonts w:ascii="Times New Roman" w:hAnsi="Times New Roman" w:cs="Times New Roman"/>
          <w:b/>
          <w:color w:val="000000"/>
        </w:rPr>
        <w:t>Request for Information Related to the Executive Order, ‘‘Modernizing Payments To and From America’s Bank Account’’</w:t>
      </w:r>
    </w:p>
    <w:p w14:paraId="411CFF72" w14:textId="77777777" w:rsidR="00BE2470" w:rsidRPr="00750DAE" w:rsidRDefault="00BE2470" w:rsidP="00A03AB8">
      <w:pPr>
        <w:widowControl w:val="0"/>
        <w:spacing w:after="0" w:line="240" w:lineRule="auto"/>
        <w:rPr>
          <w:rFonts w:ascii="Times New Roman" w:eastAsia="Times New Roman" w:hAnsi="Times New Roman" w:cs="Times New Roman"/>
        </w:rPr>
      </w:pPr>
    </w:p>
    <w:p w14:paraId="3439F6CB" w14:textId="24CDA64C" w:rsidR="00A63CAF" w:rsidRPr="00750DAE" w:rsidRDefault="00591AA2" w:rsidP="00A03AB8">
      <w:pPr>
        <w:spacing w:line="240" w:lineRule="auto"/>
        <w:jc w:val="both"/>
        <w:rPr>
          <w:rFonts w:ascii="Times New Roman" w:eastAsia="Times New Roman" w:hAnsi="Times New Roman" w:cs="Times New Roman"/>
        </w:rPr>
      </w:pPr>
      <w:r w:rsidRPr="00750DAE">
        <w:rPr>
          <w:rFonts w:ascii="Times New Roman" w:eastAsia="Times New Roman" w:hAnsi="Times New Roman" w:cs="Times New Roman"/>
        </w:rPr>
        <w:t xml:space="preserve">The Financial Data and Technology Association (“FDATA”) appreciates the opportunity to provide </w:t>
      </w:r>
      <w:r w:rsidR="004F0316" w:rsidRPr="00750DAE">
        <w:rPr>
          <w:rFonts w:ascii="Times New Roman" w:eastAsia="Times New Roman" w:hAnsi="Times New Roman" w:cs="Times New Roman"/>
        </w:rPr>
        <w:t xml:space="preserve">comments </w:t>
      </w:r>
      <w:r w:rsidR="00A63CAF" w:rsidRPr="00750DAE">
        <w:rPr>
          <w:rFonts w:ascii="Times New Roman" w:eastAsia="Times New Roman" w:hAnsi="Times New Roman" w:cs="Times New Roman"/>
        </w:rPr>
        <w:t>in response to the Department of the Treasury’s Request for Information</w:t>
      </w:r>
      <w:r w:rsidR="008A066A" w:rsidRPr="00750DAE">
        <w:rPr>
          <w:rFonts w:ascii="Times New Roman" w:eastAsia="Times New Roman" w:hAnsi="Times New Roman" w:cs="Times New Roman"/>
        </w:rPr>
        <w:t xml:space="preserve"> (“RFI”)</w:t>
      </w:r>
      <w:r w:rsidR="00A63CAF" w:rsidRPr="00750DAE">
        <w:rPr>
          <w:rFonts w:ascii="Times New Roman" w:eastAsia="Times New Roman" w:hAnsi="Times New Roman" w:cs="Times New Roman"/>
        </w:rPr>
        <w:t xml:space="preserve"> on Executive Order</w:t>
      </w:r>
      <w:r w:rsidR="005025A1" w:rsidRPr="00750DAE">
        <w:rPr>
          <w:rFonts w:ascii="Times New Roman" w:eastAsia="Times New Roman" w:hAnsi="Times New Roman" w:cs="Times New Roman"/>
        </w:rPr>
        <w:t xml:space="preserve"> </w:t>
      </w:r>
      <w:r w:rsidR="00DE4139" w:rsidRPr="00750DAE">
        <w:rPr>
          <w:rFonts w:ascii="Times New Roman" w:eastAsia="Times New Roman" w:hAnsi="Times New Roman" w:cs="Times New Roman"/>
        </w:rPr>
        <w:t>(“EO”)</w:t>
      </w:r>
      <w:r w:rsidR="00A63CAF" w:rsidRPr="00750DAE">
        <w:rPr>
          <w:rFonts w:ascii="Times New Roman" w:eastAsia="Times New Roman" w:hAnsi="Times New Roman" w:cs="Times New Roman"/>
        </w:rPr>
        <w:t xml:space="preserve"> 14247</w:t>
      </w:r>
      <w:r w:rsidR="00A53229" w:rsidRPr="00750DAE">
        <w:rPr>
          <w:rFonts w:ascii="Times New Roman" w:eastAsia="Times New Roman" w:hAnsi="Times New Roman" w:cs="Times New Roman"/>
        </w:rPr>
        <w:t xml:space="preserve">, </w:t>
      </w:r>
      <w:r w:rsidR="00A63CAF" w:rsidRPr="00750DAE">
        <w:rPr>
          <w:rFonts w:ascii="Times New Roman" w:eastAsia="Times New Roman" w:hAnsi="Times New Roman" w:cs="Times New Roman"/>
        </w:rPr>
        <w:t>Modernizing Payments To and From America’s Bank Account.</w:t>
      </w:r>
    </w:p>
    <w:p w14:paraId="04F98C5B" w14:textId="684CAB04" w:rsidR="00634F51" w:rsidRPr="00750DAE" w:rsidRDefault="00634F51" w:rsidP="00A03AB8">
      <w:pPr>
        <w:spacing w:after="0" w:line="240" w:lineRule="auto"/>
        <w:jc w:val="both"/>
        <w:rPr>
          <w:rFonts w:ascii="Times New Roman" w:eastAsia="Times New Roman" w:hAnsi="Times New Roman" w:cs="Times New Roman"/>
        </w:rPr>
      </w:pPr>
      <w:r w:rsidRPr="00750DAE">
        <w:rPr>
          <w:rFonts w:ascii="Times New Roman" w:eastAsia="Times New Roman" w:hAnsi="Times New Roman" w:cs="Times New Roman"/>
        </w:rPr>
        <w:t>FDATA and our members have long advocated for</w:t>
      </w:r>
      <w:r w:rsidR="00C84D12">
        <w:rPr>
          <w:rFonts w:ascii="Times New Roman" w:eastAsia="Times New Roman" w:hAnsi="Times New Roman" w:cs="Times New Roman"/>
        </w:rPr>
        <w:t xml:space="preserve"> the provision of a legal right for</w:t>
      </w:r>
      <w:r w:rsidRPr="00750DAE">
        <w:rPr>
          <w:rFonts w:ascii="Times New Roman" w:eastAsia="Times New Roman" w:hAnsi="Times New Roman" w:cs="Times New Roman"/>
        </w:rPr>
        <w:t xml:space="preserve"> consumers, small businesses, </w:t>
      </w:r>
      <w:r w:rsidR="00C84D12">
        <w:rPr>
          <w:rFonts w:ascii="Times New Roman" w:eastAsia="Times New Roman" w:hAnsi="Times New Roman" w:cs="Times New Roman"/>
        </w:rPr>
        <w:t xml:space="preserve">investors, </w:t>
      </w:r>
      <w:r w:rsidRPr="00750DAE">
        <w:rPr>
          <w:rFonts w:ascii="Times New Roman" w:eastAsia="Times New Roman" w:hAnsi="Times New Roman" w:cs="Times New Roman"/>
        </w:rPr>
        <w:t>public benefits recipients, and other</w:t>
      </w:r>
      <w:r w:rsidR="007F4B5D" w:rsidRPr="00750DAE">
        <w:rPr>
          <w:rFonts w:ascii="Times New Roman" w:eastAsia="Times New Roman" w:hAnsi="Times New Roman" w:cs="Times New Roman"/>
        </w:rPr>
        <w:t xml:space="preserve">s </w:t>
      </w:r>
      <w:r w:rsidRPr="00750DAE">
        <w:rPr>
          <w:rFonts w:ascii="Times New Roman" w:eastAsia="Times New Roman" w:hAnsi="Times New Roman" w:cs="Times New Roman"/>
        </w:rPr>
        <w:t xml:space="preserve">to </w:t>
      </w:r>
      <w:r w:rsidR="00C84D12">
        <w:rPr>
          <w:rFonts w:ascii="Times New Roman" w:eastAsia="Times New Roman" w:hAnsi="Times New Roman" w:cs="Times New Roman"/>
        </w:rPr>
        <w:t xml:space="preserve">safely and securely </w:t>
      </w:r>
      <w:r w:rsidRPr="00750DAE">
        <w:rPr>
          <w:rFonts w:ascii="Times New Roman" w:eastAsia="Times New Roman" w:hAnsi="Times New Roman" w:cs="Times New Roman"/>
        </w:rPr>
        <w:t>access and share their financial data</w:t>
      </w:r>
      <w:r w:rsidR="00C84D12">
        <w:rPr>
          <w:rFonts w:ascii="Times New Roman" w:eastAsia="Times New Roman" w:hAnsi="Times New Roman" w:cs="Times New Roman"/>
        </w:rPr>
        <w:t xml:space="preserve"> electronically</w:t>
      </w:r>
      <w:r w:rsidRPr="00750DAE">
        <w:rPr>
          <w:rFonts w:ascii="Times New Roman" w:eastAsia="Times New Roman" w:hAnsi="Times New Roman" w:cs="Times New Roman"/>
        </w:rPr>
        <w:t>. Global experience</w:t>
      </w:r>
      <w:r w:rsidR="00C84D12">
        <w:rPr>
          <w:rFonts w:ascii="Times New Roman" w:eastAsia="Times New Roman" w:hAnsi="Times New Roman" w:cs="Times New Roman"/>
        </w:rPr>
        <w:t xml:space="preserve"> </w:t>
      </w:r>
      <w:r w:rsidRPr="00750DAE">
        <w:rPr>
          <w:rFonts w:ascii="Times New Roman" w:eastAsia="Times New Roman" w:hAnsi="Times New Roman" w:cs="Times New Roman"/>
        </w:rPr>
        <w:t>in jurisdictions such as the United Kingdom, the European Union, Australia,</w:t>
      </w:r>
      <w:r w:rsidR="00C84D12">
        <w:rPr>
          <w:rFonts w:ascii="Times New Roman" w:eastAsia="Times New Roman" w:hAnsi="Times New Roman" w:cs="Times New Roman"/>
        </w:rPr>
        <w:t xml:space="preserve"> and many others </w:t>
      </w:r>
      <w:r w:rsidRPr="00750DAE">
        <w:rPr>
          <w:rFonts w:ascii="Times New Roman" w:eastAsia="Times New Roman" w:hAnsi="Times New Roman" w:cs="Times New Roman"/>
        </w:rPr>
        <w:t>demonstrates that open banking frameworks grounded in legal rights to data access drive more inclusive, competitive, and fraud-resistant financial ecosystems.</w:t>
      </w:r>
    </w:p>
    <w:p w14:paraId="748A202D" w14:textId="77777777" w:rsidR="00634F51" w:rsidRPr="00750DAE" w:rsidRDefault="00634F51" w:rsidP="00A03AB8">
      <w:pPr>
        <w:spacing w:after="0" w:line="240" w:lineRule="auto"/>
        <w:jc w:val="both"/>
        <w:rPr>
          <w:rFonts w:ascii="Times New Roman" w:eastAsia="Times New Roman" w:hAnsi="Times New Roman" w:cs="Times New Roman"/>
        </w:rPr>
      </w:pPr>
    </w:p>
    <w:p w14:paraId="7505D343" w14:textId="36A105C6" w:rsidR="00216C6F" w:rsidRPr="00750DAE" w:rsidRDefault="00634F51" w:rsidP="00A03AB8">
      <w:pPr>
        <w:spacing w:after="0" w:line="240" w:lineRule="auto"/>
        <w:jc w:val="both"/>
        <w:rPr>
          <w:rFonts w:ascii="Times New Roman" w:eastAsia="Times New Roman" w:hAnsi="Times New Roman" w:cs="Times New Roman"/>
        </w:rPr>
      </w:pPr>
      <w:r w:rsidRPr="00750DAE">
        <w:rPr>
          <w:rFonts w:ascii="Times New Roman" w:eastAsia="Times New Roman" w:hAnsi="Times New Roman" w:cs="Times New Roman"/>
        </w:rPr>
        <w:t>Our members’ tools and platforms underscore this reality. Founded in 2018, FDATA represents financial technology firms that empower consumers and small and medium-sized enterprises (</w:t>
      </w:r>
      <w:r w:rsidR="00A53229" w:rsidRPr="00750DAE">
        <w:rPr>
          <w:rFonts w:ascii="Times New Roman" w:eastAsia="Times New Roman" w:hAnsi="Times New Roman" w:cs="Times New Roman"/>
        </w:rPr>
        <w:t>“</w:t>
      </w:r>
      <w:r w:rsidRPr="00750DAE">
        <w:rPr>
          <w:rFonts w:ascii="Times New Roman" w:eastAsia="Times New Roman" w:hAnsi="Times New Roman" w:cs="Times New Roman"/>
        </w:rPr>
        <w:t>SMEs</w:t>
      </w:r>
      <w:r w:rsidR="00A53229" w:rsidRPr="00750DAE">
        <w:rPr>
          <w:rFonts w:ascii="Times New Roman" w:eastAsia="Times New Roman" w:hAnsi="Times New Roman" w:cs="Times New Roman"/>
        </w:rPr>
        <w:t>”</w:t>
      </w:r>
      <w:r w:rsidRPr="00750DAE">
        <w:rPr>
          <w:rFonts w:ascii="Times New Roman" w:eastAsia="Times New Roman" w:hAnsi="Times New Roman" w:cs="Times New Roman"/>
        </w:rPr>
        <w:t>) with innovative services ranging from personal finance management and lending tools to real-time payment solutions. Together, our members serve more than 100 million U.S. consumers and SMEs. All of these services are built on one core capability: the ability for customers to permission access to their financial data held by other providers.</w:t>
      </w:r>
    </w:p>
    <w:p w14:paraId="6ECC3B2D" w14:textId="77777777" w:rsidR="00634F51" w:rsidRPr="00750DAE" w:rsidRDefault="00634F51" w:rsidP="00A03AB8">
      <w:pPr>
        <w:spacing w:after="0" w:line="240" w:lineRule="auto"/>
        <w:jc w:val="both"/>
        <w:rPr>
          <w:rFonts w:ascii="Times New Roman" w:eastAsia="Times New Roman" w:hAnsi="Times New Roman" w:cs="Times New Roman"/>
        </w:rPr>
      </w:pPr>
    </w:p>
    <w:p w14:paraId="429D5108" w14:textId="48144D49" w:rsidR="00634F51" w:rsidRPr="00750DAE" w:rsidRDefault="00C84D12" w:rsidP="00A03AB8">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Broadly </w:t>
      </w:r>
      <w:r w:rsidR="00634F51" w:rsidRPr="00750DAE">
        <w:rPr>
          <w:rFonts w:ascii="Times New Roman" w:eastAsia="Times New Roman" w:hAnsi="Times New Roman" w:cs="Times New Roman"/>
          <w:b/>
          <w:u w:val="single"/>
        </w:rPr>
        <w:t>Enabling Pay-by-Bank Would Meaningfully Reduce Check Fraud</w:t>
      </w:r>
    </w:p>
    <w:p w14:paraId="47083CC5" w14:textId="58961B79" w:rsidR="00634F51" w:rsidRPr="00750DAE" w:rsidRDefault="00634F51"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 xml:space="preserve">FDATA supports the goals outlined in </w:t>
      </w:r>
      <w:r w:rsidR="005025A1" w:rsidRPr="00750DAE">
        <w:rPr>
          <w:rFonts w:ascii="Times New Roman" w:eastAsia="Times New Roman" w:hAnsi="Times New Roman" w:cs="Times New Roman"/>
          <w:bCs/>
        </w:rPr>
        <w:t>EO</w:t>
      </w:r>
      <w:r w:rsidRPr="00750DAE">
        <w:rPr>
          <w:rFonts w:ascii="Times New Roman" w:eastAsia="Times New Roman" w:hAnsi="Times New Roman" w:cs="Times New Roman"/>
          <w:bCs/>
        </w:rPr>
        <w:t xml:space="preserve"> 14247: defending against financial fraud and improper payments, increasing efficiency, reducing costs, and enhancing the security of federal payments. These goals cannot be met without addressing the growing vulnerabilities posed by paper checks.</w:t>
      </w:r>
    </w:p>
    <w:p w14:paraId="22101D66" w14:textId="77777777" w:rsidR="00634F51" w:rsidRPr="00750DAE" w:rsidRDefault="00634F51" w:rsidP="00A03AB8">
      <w:pPr>
        <w:spacing w:after="0" w:line="240" w:lineRule="auto"/>
        <w:jc w:val="both"/>
        <w:rPr>
          <w:rFonts w:ascii="Times New Roman" w:eastAsia="Times New Roman" w:hAnsi="Times New Roman" w:cs="Times New Roman"/>
          <w:bCs/>
        </w:rPr>
      </w:pPr>
    </w:p>
    <w:p w14:paraId="5F4495A3" w14:textId="61246CD4" w:rsidR="00634F51" w:rsidRPr="00750DAE" w:rsidRDefault="00634F51"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Check fraud is not a theoretical concern.</w:t>
      </w:r>
      <w:r w:rsidR="00891021" w:rsidRPr="00750DAE">
        <w:rPr>
          <w:rFonts w:ascii="Times New Roman" w:eastAsia="Times New Roman" w:hAnsi="Times New Roman" w:cs="Times New Roman"/>
          <w:bCs/>
        </w:rPr>
        <w:t xml:space="preserve"> </w:t>
      </w:r>
      <w:r w:rsidRPr="00750DAE">
        <w:rPr>
          <w:rFonts w:ascii="Times New Roman" w:eastAsia="Times New Roman" w:hAnsi="Times New Roman" w:cs="Times New Roman"/>
          <w:bCs/>
        </w:rPr>
        <w:t>In 2022 alone, U.S. banks filed over 680,000 reports of check fraud, nearly double the number from the previous year</w:t>
      </w:r>
      <w:r w:rsidR="00891021" w:rsidRPr="00750DAE">
        <w:rPr>
          <w:rFonts w:ascii="Times New Roman" w:eastAsia="Times New Roman" w:hAnsi="Times New Roman" w:cs="Times New Roman"/>
          <w:bCs/>
        </w:rPr>
        <w:t>, underscoring the growing risks associated with paper-based payments</w:t>
      </w:r>
      <w:r w:rsidRPr="00750DAE">
        <w:rPr>
          <w:rFonts w:ascii="Times New Roman" w:eastAsia="Times New Roman" w:hAnsi="Times New Roman" w:cs="Times New Roman"/>
          <w:bCs/>
        </w:rPr>
        <w:t>.</w:t>
      </w:r>
      <w:r w:rsidR="00D950C5" w:rsidRPr="00750DAE">
        <w:rPr>
          <w:rStyle w:val="FootnoteReference"/>
          <w:rFonts w:ascii="Times New Roman" w:eastAsia="Times New Roman" w:hAnsi="Times New Roman" w:cs="Times New Roman"/>
          <w:bCs/>
        </w:rPr>
        <w:footnoteReference w:id="2"/>
      </w:r>
      <w:r w:rsidRPr="00750DAE">
        <w:rPr>
          <w:rFonts w:ascii="Times New Roman" w:eastAsia="Times New Roman" w:hAnsi="Times New Roman" w:cs="Times New Roman"/>
          <w:bCs/>
        </w:rPr>
        <w:t xml:space="preserve"> These crimes cost taxpayers hundreds of millions of dollars annually and undermine the integrity of public benefit disbursements</w:t>
      </w:r>
      <w:r w:rsidR="009F1354" w:rsidRPr="00750DAE">
        <w:rPr>
          <w:rFonts w:ascii="Times New Roman" w:eastAsia="Times New Roman" w:hAnsi="Times New Roman" w:cs="Times New Roman"/>
          <w:bCs/>
        </w:rPr>
        <w:t xml:space="preserve">, </w:t>
      </w:r>
      <w:r w:rsidRPr="00750DAE">
        <w:rPr>
          <w:rFonts w:ascii="Times New Roman" w:eastAsia="Times New Roman" w:hAnsi="Times New Roman" w:cs="Times New Roman"/>
          <w:bCs/>
        </w:rPr>
        <w:t>often harming the</w:t>
      </w:r>
      <w:r w:rsidR="00C84D12">
        <w:rPr>
          <w:rFonts w:ascii="Times New Roman" w:eastAsia="Times New Roman" w:hAnsi="Times New Roman" w:cs="Times New Roman"/>
          <w:bCs/>
        </w:rPr>
        <w:t xml:space="preserve"> most vulnerable</w:t>
      </w:r>
      <w:r w:rsidRPr="00750DAE">
        <w:rPr>
          <w:rFonts w:ascii="Times New Roman" w:eastAsia="Times New Roman" w:hAnsi="Times New Roman" w:cs="Times New Roman"/>
          <w:bCs/>
        </w:rPr>
        <w:t xml:space="preserve"> individuals </w:t>
      </w:r>
      <w:r w:rsidR="00C84D12">
        <w:rPr>
          <w:rFonts w:ascii="Times New Roman" w:eastAsia="Times New Roman" w:hAnsi="Times New Roman" w:cs="Times New Roman"/>
          <w:bCs/>
        </w:rPr>
        <w:t xml:space="preserve">who </w:t>
      </w:r>
      <w:r w:rsidRPr="00750DAE">
        <w:rPr>
          <w:rFonts w:ascii="Times New Roman" w:eastAsia="Times New Roman" w:hAnsi="Times New Roman" w:cs="Times New Roman"/>
          <w:bCs/>
        </w:rPr>
        <w:t>federal payments are intended to support.</w:t>
      </w:r>
    </w:p>
    <w:p w14:paraId="652D8845" w14:textId="77777777" w:rsidR="00634F51" w:rsidRPr="00750DAE" w:rsidRDefault="00634F51" w:rsidP="00A03AB8">
      <w:pPr>
        <w:spacing w:after="0" w:line="240" w:lineRule="auto"/>
        <w:jc w:val="both"/>
        <w:rPr>
          <w:rFonts w:ascii="Times New Roman" w:eastAsia="Times New Roman" w:hAnsi="Times New Roman" w:cs="Times New Roman"/>
          <w:bCs/>
        </w:rPr>
      </w:pPr>
    </w:p>
    <w:p w14:paraId="1ED1BB26" w14:textId="169B3908" w:rsidR="00634F51" w:rsidRPr="00750DAE" w:rsidRDefault="00634F51"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One of the most promising solutions to this problem is the adoption of pay-by-bank capabilities. Pay-by-bank is a secure and cost-effective form of digital payment that allows consumers to initiate transfers directly from their financial accounts. These transactions avoid the risks associated with check printing, mailing, and manual processing</w:t>
      </w:r>
      <w:r w:rsidR="00C84D12">
        <w:rPr>
          <w:rFonts w:ascii="Times New Roman" w:eastAsia="Times New Roman" w:hAnsi="Times New Roman" w:cs="Times New Roman"/>
          <w:bCs/>
        </w:rPr>
        <w:t xml:space="preserve">, </w:t>
      </w:r>
      <w:r w:rsidRPr="00750DAE">
        <w:rPr>
          <w:rFonts w:ascii="Times New Roman" w:eastAsia="Times New Roman" w:hAnsi="Times New Roman" w:cs="Times New Roman"/>
          <w:bCs/>
        </w:rPr>
        <w:t>and can be executed in real</w:t>
      </w:r>
      <w:r w:rsidR="00C84D12">
        <w:rPr>
          <w:rFonts w:ascii="Times New Roman" w:eastAsia="Times New Roman" w:hAnsi="Times New Roman" w:cs="Times New Roman"/>
          <w:bCs/>
        </w:rPr>
        <w:t>-</w:t>
      </w:r>
      <w:r w:rsidRPr="00750DAE">
        <w:rPr>
          <w:rFonts w:ascii="Times New Roman" w:eastAsia="Times New Roman" w:hAnsi="Times New Roman" w:cs="Times New Roman"/>
          <w:bCs/>
        </w:rPr>
        <w:t>time using trusted rails such as ACH, FedNow, or RTP.</w:t>
      </w:r>
    </w:p>
    <w:p w14:paraId="6F0572D9" w14:textId="77777777" w:rsidR="00634F51" w:rsidRPr="00750DAE" w:rsidRDefault="00634F51" w:rsidP="00A03AB8">
      <w:pPr>
        <w:spacing w:after="0" w:line="240" w:lineRule="auto"/>
        <w:jc w:val="both"/>
        <w:rPr>
          <w:rFonts w:ascii="Times New Roman" w:eastAsia="Times New Roman" w:hAnsi="Times New Roman" w:cs="Times New Roman"/>
          <w:bCs/>
        </w:rPr>
      </w:pPr>
    </w:p>
    <w:p w14:paraId="798085B2" w14:textId="5557A8E5" w:rsidR="007F4B5D" w:rsidRPr="00750DAE" w:rsidRDefault="00634F51"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 xml:space="preserve">In addition to fraud reduction, pay-by-bank lowers costs for </w:t>
      </w:r>
      <w:r w:rsidR="007F4B5D" w:rsidRPr="00750DAE">
        <w:rPr>
          <w:rFonts w:ascii="Times New Roman" w:eastAsia="Times New Roman" w:hAnsi="Times New Roman" w:cs="Times New Roman"/>
          <w:bCs/>
        </w:rPr>
        <w:t>recipients</w:t>
      </w:r>
      <w:r w:rsidRPr="00750DAE">
        <w:rPr>
          <w:rFonts w:ascii="Times New Roman" w:eastAsia="Times New Roman" w:hAnsi="Times New Roman" w:cs="Times New Roman"/>
          <w:bCs/>
        </w:rPr>
        <w:t xml:space="preserve">. </w:t>
      </w:r>
      <w:r w:rsidR="007F4B5D" w:rsidRPr="00750DAE">
        <w:rPr>
          <w:rFonts w:ascii="Times New Roman" w:eastAsia="Times New Roman" w:hAnsi="Times New Roman" w:cs="Times New Roman"/>
          <w:bCs/>
        </w:rPr>
        <w:t>To take just one example, a 2021 Brookings Institution study found that over three million paper stimulus checks from the Coronavirus Aid, Relief, and Economic Security (</w:t>
      </w:r>
      <w:r w:rsidR="00CF11EB" w:rsidRPr="00750DAE">
        <w:rPr>
          <w:rFonts w:ascii="Times New Roman" w:eastAsia="Times New Roman" w:hAnsi="Times New Roman" w:cs="Times New Roman"/>
          <w:bCs/>
        </w:rPr>
        <w:t>“</w:t>
      </w:r>
      <w:r w:rsidR="007F4B5D" w:rsidRPr="00750DAE">
        <w:rPr>
          <w:rFonts w:ascii="Times New Roman" w:eastAsia="Times New Roman" w:hAnsi="Times New Roman" w:cs="Times New Roman"/>
          <w:bCs/>
        </w:rPr>
        <w:t>CARES</w:t>
      </w:r>
      <w:r w:rsidR="00CF11EB" w:rsidRPr="00750DAE">
        <w:rPr>
          <w:rFonts w:ascii="Times New Roman" w:eastAsia="Times New Roman" w:hAnsi="Times New Roman" w:cs="Times New Roman"/>
          <w:bCs/>
        </w:rPr>
        <w:t>”</w:t>
      </w:r>
      <w:r w:rsidR="007F4B5D" w:rsidRPr="00750DAE">
        <w:rPr>
          <w:rFonts w:ascii="Times New Roman" w:eastAsia="Times New Roman" w:hAnsi="Times New Roman" w:cs="Times New Roman"/>
          <w:bCs/>
        </w:rPr>
        <w:t xml:space="preserve">) Act were cashed through </w:t>
      </w:r>
      <w:r w:rsidR="00C84D12" w:rsidRPr="00C84D12">
        <w:rPr>
          <w:rFonts w:ascii="Times New Roman" w:eastAsia="Times New Roman" w:hAnsi="Times New Roman" w:cs="Times New Roman"/>
          <w:bCs/>
        </w:rPr>
        <w:t>high</w:t>
      </w:r>
      <w:r w:rsidR="00C84D12">
        <w:rPr>
          <w:rFonts w:ascii="Times New Roman" w:eastAsia="Times New Roman" w:hAnsi="Times New Roman" w:cs="Times New Roman"/>
          <w:bCs/>
        </w:rPr>
        <w:t xml:space="preserve"> cost</w:t>
      </w:r>
      <w:r w:rsidR="007F4B5D" w:rsidRPr="00750DAE">
        <w:rPr>
          <w:rFonts w:ascii="Times New Roman" w:eastAsia="Times New Roman" w:hAnsi="Times New Roman" w:cs="Times New Roman"/>
          <w:bCs/>
        </w:rPr>
        <w:t xml:space="preserve"> “check cashers.” Recipients of those checks were estimated to have paid $66 million in check cashing fees. </w:t>
      </w:r>
      <w:r w:rsidR="00C84D12">
        <w:rPr>
          <w:rFonts w:ascii="Times New Roman" w:eastAsia="Times New Roman" w:hAnsi="Times New Roman" w:cs="Times New Roman"/>
          <w:bCs/>
        </w:rPr>
        <w:t>In this instance</w:t>
      </w:r>
      <w:r w:rsidR="007F4B5D" w:rsidRPr="00750DAE">
        <w:rPr>
          <w:rFonts w:ascii="Times New Roman" w:eastAsia="Times New Roman" w:hAnsi="Times New Roman" w:cs="Times New Roman"/>
          <w:bCs/>
        </w:rPr>
        <w:t xml:space="preserve">, paper checks resulted in tens of millions of taxpayer dollars being captured by middlemen rather than reaching </w:t>
      </w:r>
      <w:r w:rsidR="00C84D12">
        <w:rPr>
          <w:rFonts w:ascii="Times New Roman" w:eastAsia="Times New Roman" w:hAnsi="Times New Roman" w:cs="Times New Roman"/>
          <w:bCs/>
        </w:rPr>
        <w:t xml:space="preserve">the </w:t>
      </w:r>
      <w:r w:rsidR="007F4B5D" w:rsidRPr="00750DAE">
        <w:rPr>
          <w:rFonts w:ascii="Times New Roman" w:eastAsia="Times New Roman" w:hAnsi="Times New Roman" w:cs="Times New Roman"/>
          <w:bCs/>
        </w:rPr>
        <w:t xml:space="preserve">intended </w:t>
      </w:r>
      <w:r w:rsidR="00C84D12">
        <w:rPr>
          <w:rFonts w:ascii="Times New Roman" w:eastAsia="Times New Roman" w:hAnsi="Times New Roman" w:cs="Times New Roman"/>
          <w:bCs/>
        </w:rPr>
        <w:t>recipient of federal dollars</w:t>
      </w:r>
      <w:r w:rsidR="007F4B5D" w:rsidRPr="00750DAE">
        <w:rPr>
          <w:rFonts w:ascii="Times New Roman" w:eastAsia="Times New Roman" w:hAnsi="Times New Roman" w:cs="Times New Roman"/>
          <w:bCs/>
        </w:rPr>
        <w:t>.</w:t>
      </w:r>
      <w:r w:rsidR="007F4B5D" w:rsidRPr="00750DAE">
        <w:rPr>
          <w:rStyle w:val="FootnoteReference"/>
          <w:rFonts w:ascii="Times New Roman" w:eastAsia="Times New Roman" w:hAnsi="Times New Roman" w:cs="Times New Roman"/>
          <w:bCs/>
        </w:rPr>
        <w:footnoteReference w:id="3"/>
      </w:r>
      <w:r w:rsidR="007F4B5D" w:rsidRPr="00750DAE">
        <w:rPr>
          <w:rFonts w:ascii="Times New Roman" w:eastAsia="Times New Roman" w:hAnsi="Times New Roman" w:cs="Times New Roman"/>
          <w:bCs/>
        </w:rPr>
        <w:t xml:space="preserve"> </w:t>
      </w:r>
    </w:p>
    <w:p w14:paraId="39347182" w14:textId="77777777" w:rsidR="007F4B5D" w:rsidRPr="00750DAE" w:rsidRDefault="007F4B5D" w:rsidP="00A03AB8">
      <w:pPr>
        <w:spacing w:after="0" w:line="240" w:lineRule="auto"/>
        <w:jc w:val="both"/>
        <w:rPr>
          <w:rFonts w:ascii="Times New Roman" w:eastAsia="Times New Roman" w:hAnsi="Times New Roman" w:cs="Times New Roman"/>
          <w:bCs/>
        </w:rPr>
      </w:pPr>
    </w:p>
    <w:p w14:paraId="09FA15A1" w14:textId="4C9A3970" w:rsidR="007F4B5D" w:rsidRPr="00750DAE" w:rsidRDefault="007F4B5D"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In addition to sa</w:t>
      </w:r>
      <w:r w:rsidR="00C84D12">
        <w:rPr>
          <w:rFonts w:ascii="Times New Roman" w:eastAsia="Times New Roman" w:hAnsi="Times New Roman" w:cs="Times New Roman"/>
          <w:bCs/>
        </w:rPr>
        <w:t>v</w:t>
      </w:r>
      <w:r w:rsidRPr="00750DAE">
        <w:rPr>
          <w:rFonts w:ascii="Times New Roman" w:eastAsia="Times New Roman" w:hAnsi="Times New Roman" w:cs="Times New Roman"/>
          <w:bCs/>
        </w:rPr>
        <w:t>ing money for taxpayers, pay-by-bank has the potential to be a once</w:t>
      </w:r>
      <w:r w:rsidR="00C84D12">
        <w:rPr>
          <w:rFonts w:ascii="Times New Roman" w:eastAsia="Times New Roman" w:hAnsi="Times New Roman" w:cs="Times New Roman"/>
          <w:bCs/>
        </w:rPr>
        <w:t>-in-a-</w:t>
      </w:r>
      <w:r w:rsidRPr="00750DAE">
        <w:rPr>
          <w:rFonts w:ascii="Times New Roman" w:eastAsia="Times New Roman" w:hAnsi="Times New Roman" w:cs="Times New Roman"/>
          <w:bCs/>
        </w:rPr>
        <w:t xml:space="preserve">generation game changer for small businesses. </w:t>
      </w:r>
      <w:r w:rsidR="00C84D12">
        <w:rPr>
          <w:rFonts w:ascii="Times New Roman" w:eastAsia="Times New Roman" w:hAnsi="Times New Roman" w:cs="Times New Roman"/>
          <w:bCs/>
        </w:rPr>
        <w:t>P</w:t>
      </w:r>
      <w:r w:rsidR="00634F51" w:rsidRPr="00750DAE">
        <w:rPr>
          <w:rFonts w:ascii="Times New Roman" w:eastAsia="Times New Roman" w:hAnsi="Times New Roman" w:cs="Times New Roman"/>
          <w:bCs/>
        </w:rPr>
        <w:t>ay-by-bank solutions typically operate on a flat-fee model, often 15–25 cents per transaction.</w:t>
      </w:r>
      <w:r w:rsidR="00424CF3" w:rsidRPr="00750DAE">
        <w:rPr>
          <w:rStyle w:val="FootnoteReference"/>
          <w:rFonts w:ascii="Times New Roman" w:eastAsia="Times New Roman" w:hAnsi="Times New Roman" w:cs="Times New Roman"/>
          <w:bCs/>
        </w:rPr>
        <w:footnoteReference w:id="4"/>
      </w:r>
      <w:r w:rsidR="00634F51" w:rsidRPr="00750DAE">
        <w:rPr>
          <w:rFonts w:ascii="Times New Roman" w:eastAsia="Times New Roman" w:hAnsi="Times New Roman" w:cs="Times New Roman"/>
          <w:bCs/>
        </w:rPr>
        <w:t xml:space="preserve"> </w:t>
      </w:r>
      <w:r w:rsidRPr="00750DAE">
        <w:rPr>
          <w:rFonts w:ascii="Times New Roman" w:eastAsia="Times New Roman" w:hAnsi="Times New Roman" w:cs="Times New Roman"/>
          <w:bCs/>
        </w:rPr>
        <w:t xml:space="preserve">That can make an extraordinary difference to small business owners. </w:t>
      </w:r>
    </w:p>
    <w:p w14:paraId="0FD44403" w14:textId="77777777" w:rsidR="007F4B5D" w:rsidRPr="00750DAE" w:rsidRDefault="007F4B5D" w:rsidP="00A03AB8">
      <w:pPr>
        <w:spacing w:after="0" w:line="240" w:lineRule="auto"/>
        <w:jc w:val="both"/>
        <w:rPr>
          <w:rFonts w:ascii="Times New Roman" w:eastAsia="Times New Roman" w:hAnsi="Times New Roman" w:cs="Times New Roman"/>
          <w:bCs/>
        </w:rPr>
      </w:pPr>
    </w:p>
    <w:p w14:paraId="4417F3BC" w14:textId="7F25733C" w:rsidR="00634F51" w:rsidRPr="00750DAE" w:rsidRDefault="007F4B5D"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Wider deployment of pay-by-bank</w:t>
      </w:r>
      <w:r w:rsidR="00C24F9F" w:rsidRPr="00750DAE">
        <w:rPr>
          <w:rFonts w:ascii="Times New Roman" w:eastAsia="Times New Roman" w:hAnsi="Times New Roman" w:cs="Times New Roman"/>
          <w:bCs/>
        </w:rPr>
        <w:t>—</w:t>
      </w:r>
      <w:r w:rsidRPr="00750DAE">
        <w:rPr>
          <w:rFonts w:ascii="Times New Roman" w:eastAsia="Times New Roman" w:hAnsi="Times New Roman" w:cs="Times New Roman"/>
          <w:bCs/>
        </w:rPr>
        <w:t>including but not limited to government payments</w:t>
      </w:r>
      <w:r w:rsidR="00C24F9F" w:rsidRPr="00750DAE">
        <w:rPr>
          <w:rFonts w:ascii="Times New Roman" w:eastAsia="Times New Roman" w:hAnsi="Times New Roman" w:cs="Times New Roman"/>
          <w:bCs/>
        </w:rPr>
        <w:t>—</w:t>
      </w:r>
      <w:r w:rsidRPr="00750DAE">
        <w:rPr>
          <w:rFonts w:ascii="Times New Roman" w:eastAsia="Times New Roman" w:hAnsi="Times New Roman" w:cs="Times New Roman"/>
          <w:bCs/>
        </w:rPr>
        <w:t xml:space="preserve">would be a win for the government, a win for public benefits recipients, and a win for small businesses. </w:t>
      </w:r>
      <w:r w:rsidR="00634F51" w:rsidRPr="00750DAE">
        <w:rPr>
          <w:rFonts w:ascii="Times New Roman" w:eastAsia="Times New Roman" w:hAnsi="Times New Roman" w:cs="Times New Roman"/>
          <w:bCs/>
        </w:rPr>
        <w:t xml:space="preserve">Treasury’s efforts to modernize payments should prioritize </w:t>
      </w:r>
      <w:r w:rsidR="00C84D12">
        <w:rPr>
          <w:rFonts w:ascii="Times New Roman" w:eastAsia="Times New Roman" w:hAnsi="Times New Roman" w:cs="Times New Roman"/>
          <w:bCs/>
        </w:rPr>
        <w:t xml:space="preserve">the </w:t>
      </w:r>
      <w:r w:rsidR="00634F51" w:rsidRPr="00750DAE">
        <w:rPr>
          <w:rFonts w:ascii="Times New Roman" w:eastAsia="Times New Roman" w:hAnsi="Times New Roman" w:cs="Times New Roman"/>
          <w:bCs/>
        </w:rPr>
        <w:t>adoption of this secure and inclusive alternative.</w:t>
      </w:r>
      <w:r w:rsidRPr="00750DAE">
        <w:rPr>
          <w:rFonts w:ascii="Times New Roman" w:eastAsia="Times New Roman" w:hAnsi="Times New Roman" w:cs="Times New Roman"/>
          <w:bCs/>
        </w:rPr>
        <w:t xml:space="preserve"> Unfortunately, recent actions by the Consumer Financial Protection Bureau (</w:t>
      </w:r>
      <w:r w:rsidR="00C24F9F" w:rsidRPr="00750DAE">
        <w:rPr>
          <w:rFonts w:ascii="Times New Roman" w:eastAsia="Times New Roman" w:hAnsi="Times New Roman" w:cs="Times New Roman"/>
          <w:bCs/>
        </w:rPr>
        <w:t>“</w:t>
      </w:r>
      <w:r w:rsidRPr="00750DAE">
        <w:rPr>
          <w:rFonts w:ascii="Times New Roman" w:eastAsia="Times New Roman" w:hAnsi="Times New Roman" w:cs="Times New Roman"/>
          <w:bCs/>
        </w:rPr>
        <w:t>CFPB</w:t>
      </w:r>
      <w:r w:rsidR="00C24F9F" w:rsidRPr="00750DAE">
        <w:rPr>
          <w:rFonts w:ascii="Times New Roman" w:eastAsia="Times New Roman" w:hAnsi="Times New Roman" w:cs="Times New Roman"/>
          <w:bCs/>
        </w:rPr>
        <w:t>”</w:t>
      </w:r>
      <w:r w:rsidRPr="00750DAE">
        <w:rPr>
          <w:rFonts w:ascii="Times New Roman" w:eastAsia="Times New Roman" w:hAnsi="Times New Roman" w:cs="Times New Roman"/>
          <w:bCs/>
        </w:rPr>
        <w:t>) threaten to undermine</w:t>
      </w:r>
      <w:r w:rsidR="00C84D12">
        <w:rPr>
          <w:rFonts w:ascii="Times New Roman" w:eastAsia="Times New Roman" w:hAnsi="Times New Roman" w:cs="Times New Roman"/>
          <w:bCs/>
        </w:rPr>
        <w:t xml:space="preserve"> this novel, technology-based solution and, in so doing,</w:t>
      </w:r>
      <w:r w:rsidRPr="00750DAE">
        <w:rPr>
          <w:rFonts w:ascii="Times New Roman" w:eastAsia="Times New Roman" w:hAnsi="Times New Roman" w:cs="Times New Roman"/>
          <w:bCs/>
        </w:rPr>
        <w:t xml:space="preserve"> Executive Order 14247.</w:t>
      </w:r>
    </w:p>
    <w:p w14:paraId="78BD9A05" w14:textId="77777777" w:rsidR="00216C6F" w:rsidRPr="00750DAE" w:rsidRDefault="00216C6F" w:rsidP="00A03AB8">
      <w:pPr>
        <w:spacing w:after="0" w:line="240" w:lineRule="auto"/>
        <w:jc w:val="both"/>
        <w:rPr>
          <w:rFonts w:ascii="Times New Roman" w:eastAsia="Times New Roman" w:hAnsi="Times New Roman" w:cs="Times New Roman"/>
          <w:bCs/>
          <w:u w:val="single"/>
        </w:rPr>
      </w:pPr>
    </w:p>
    <w:p w14:paraId="142F24CE" w14:textId="48BFA948" w:rsidR="005C365C" w:rsidRPr="00750DAE" w:rsidRDefault="007F4B5D" w:rsidP="00A03AB8">
      <w:pPr>
        <w:spacing w:after="0" w:line="240" w:lineRule="auto"/>
        <w:jc w:val="both"/>
        <w:rPr>
          <w:rFonts w:ascii="Times New Roman" w:eastAsia="Times New Roman" w:hAnsi="Times New Roman" w:cs="Times New Roman"/>
          <w:b/>
          <w:u w:val="single"/>
        </w:rPr>
      </w:pPr>
      <w:r w:rsidRPr="00750DAE">
        <w:rPr>
          <w:rFonts w:ascii="Times New Roman" w:eastAsia="Times New Roman" w:hAnsi="Times New Roman" w:cs="Times New Roman"/>
          <w:b/>
          <w:u w:val="single"/>
        </w:rPr>
        <w:t xml:space="preserve">The Fate of the </w:t>
      </w:r>
      <w:r w:rsidR="005C365C" w:rsidRPr="00750DAE">
        <w:rPr>
          <w:rFonts w:ascii="Times New Roman" w:eastAsia="Times New Roman" w:hAnsi="Times New Roman" w:cs="Times New Roman"/>
          <w:b/>
          <w:u w:val="single"/>
        </w:rPr>
        <w:t xml:space="preserve">Section 1033 </w:t>
      </w:r>
      <w:r w:rsidRPr="00750DAE">
        <w:rPr>
          <w:rFonts w:ascii="Times New Roman" w:eastAsia="Times New Roman" w:hAnsi="Times New Roman" w:cs="Times New Roman"/>
          <w:b/>
          <w:u w:val="single"/>
        </w:rPr>
        <w:t>Rule Will Make or Break Pay-by-Bank</w:t>
      </w:r>
    </w:p>
    <w:p w14:paraId="431699B5" w14:textId="51593599" w:rsidR="008E64B5" w:rsidRPr="00750DAE" w:rsidRDefault="008E64B5"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While the technology to support pay-by-bank exists today, its scalability and competitiveness depend on a robust open banking framework</w:t>
      </w:r>
      <w:r w:rsidR="000162D4" w:rsidRPr="00750DAE">
        <w:rPr>
          <w:rFonts w:ascii="Times New Roman" w:eastAsia="Times New Roman" w:hAnsi="Times New Roman" w:cs="Times New Roman"/>
          <w:bCs/>
        </w:rPr>
        <w:t>,</w:t>
      </w:r>
      <w:r w:rsidR="001F3B2A" w:rsidRPr="00750DAE">
        <w:rPr>
          <w:rStyle w:val="FootnoteReference"/>
          <w:rFonts w:ascii="Times New Roman" w:eastAsia="Times New Roman" w:hAnsi="Times New Roman" w:cs="Times New Roman"/>
          <w:bCs/>
        </w:rPr>
        <w:footnoteReference w:id="5"/>
      </w:r>
      <w:r w:rsidR="000162D4" w:rsidRPr="00750DAE">
        <w:rPr>
          <w:rFonts w:ascii="Times New Roman" w:eastAsia="Times New Roman" w:hAnsi="Times New Roman" w:cs="Times New Roman"/>
          <w:bCs/>
        </w:rPr>
        <w:t xml:space="preserve"> </w:t>
      </w:r>
      <w:r w:rsidRPr="00750DAE">
        <w:rPr>
          <w:rFonts w:ascii="Times New Roman" w:eastAsia="Times New Roman" w:hAnsi="Times New Roman" w:cs="Times New Roman"/>
          <w:bCs/>
        </w:rPr>
        <w:t xml:space="preserve">one that ensures consumers </w:t>
      </w:r>
      <w:r w:rsidR="00C84D12">
        <w:rPr>
          <w:rFonts w:ascii="Times New Roman" w:eastAsia="Times New Roman" w:hAnsi="Times New Roman" w:cs="Times New Roman"/>
          <w:bCs/>
        </w:rPr>
        <w:t xml:space="preserve">and small business owners </w:t>
      </w:r>
      <w:r w:rsidRPr="00750DAE">
        <w:rPr>
          <w:rFonts w:ascii="Times New Roman" w:eastAsia="Times New Roman" w:hAnsi="Times New Roman" w:cs="Times New Roman"/>
          <w:bCs/>
        </w:rPr>
        <w:t>can permission third-party access to their financial data, including the specific data elements required to initiate payments</w:t>
      </w:r>
      <w:r w:rsidR="007F4B5D" w:rsidRPr="00750DAE">
        <w:rPr>
          <w:rFonts w:ascii="Times New Roman" w:eastAsia="Times New Roman" w:hAnsi="Times New Roman" w:cs="Times New Roman"/>
          <w:bCs/>
        </w:rPr>
        <w:t xml:space="preserve"> through the ACH, FedNow, or RTP </w:t>
      </w:r>
      <w:r w:rsidR="00C84D12">
        <w:rPr>
          <w:rFonts w:ascii="Times New Roman" w:eastAsia="Times New Roman" w:hAnsi="Times New Roman" w:cs="Times New Roman"/>
          <w:bCs/>
        </w:rPr>
        <w:t>rail</w:t>
      </w:r>
      <w:r w:rsidR="00C84D12" w:rsidRPr="00750DAE">
        <w:rPr>
          <w:rFonts w:ascii="Times New Roman" w:eastAsia="Times New Roman" w:hAnsi="Times New Roman" w:cs="Times New Roman"/>
          <w:bCs/>
        </w:rPr>
        <w:t>s</w:t>
      </w:r>
      <w:r w:rsidRPr="00750DAE">
        <w:rPr>
          <w:rFonts w:ascii="Times New Roman" w:eastAsia="Times New Roman" w:hAnsi="Times New Roman" w:cs="Times New Roman"/>
          <w:bCs/>
        </w:rPr>
        <w:t>. Th</w:t>
      </w:r>
      <w:r w:rsidR="000162D4" w:rsidRPr="00750DAE">
        <w:rPr>
          <w:rFonts w:ascii="Times New Roman" w:eastAsia="Times New Roman" w:hAnsi="Times New Roman" w:cs="Times New Roman"/>
          <w:bCs/>
        </w:rPr>
        <w:t>is</w:t>
      </w:r>
      <w:r w:rsidRPr="00750DAE">
        <w:rPr>
          <w:rFonts w:ascii="Times New Roman" w:eastAsia="Times New Roman" w:hAnsi="Times New Roman" w:cs="Times New Roman"/>
          <w:bCs/>
        </w:rPr>
        <w:t xml:space="preserve"> data include</w:t>
      </w:r>
      <w:r w:rsidR="000162D4" w:rsidRPr="00750DAE">
        <w:rPr>
          <w:rFonts w:ascii="Times New Roman" w:eastAsia="Times New Roman" w:hAnsi="Times New Roman" w:cs="Times New Roman"/>
          <w:bCs/>
        </w:rPr>
        <w:t>s</w:t>
      </w:r>
      <w:r w:rsidRPr="00750DAE">
        <w:rPr>
          <w:rFonts w:ascii="Times New Roman" w:eastAsia="Times New Roman" w:hAnsi="Times New Roman" w:cs="Times New Roman"/>
          <w:bCs/>
        </w:rPr>
        <w:t xml:space="preserve"> account and routing numbers, account type and status, and authorization credentials or tokens necessary to enable secure payment initiation on behalf of the user.</w:t>
      </w:r>
      <w:r w:rsidR="007F4B5D" w:rsidRPr="00750DAE">
        <w:rPr>
          <w:rFonts w:ascii="Times New Roman" w:eastAsia="Times New Roman" w:hAnsi="Times New Roman" w:cs="Times New Roman"/>
          <w:bCs/>
        </w:rPr>
        <w:t xml:space="preserve"> Pay-by-bank can be enabled simply by virtue of </w:t>
      </w:r>
      <w:r w:rsidR="00C84D12">
        <w:rPr>
          <w:rFonts w:ascii="Times New Roman" w:eastAsia="Times New Roman" w:hAnsi="Times New Roman" w:cs="Times New Roman"/>
          <w:bCs/>
        </w:rPr>
        <w:t xml:space="preserve">secure </w:t>
      </w:r>
      <w:r w:rsidR="007F4B5D" w:rsidRPr="00750DAE">
        <w:rPr>
          <w:rFonts w:ascii="Times New Roman" w:eastAsia="Times New Roman" w:hAnsi="Times New Roman" w:cs="Times New Roman"/>
          <w:bCs/>
        </w:rPr>
        <w:t>information sharing, and without creating new liability risks for banks.</w:t>
      </w:r>
      <w:r w:rsidR="00C84D12" w:rsidRPr="00C84D12">
        <w:rPr>
          <w:rFonts w:ascii="Times New Roman" w:eastAsia="Times New Roman" w:hAnsi="Times New Roman" w:cs="Times New Roman"/>
          <w:bCs/>
        </w:rPr>
        <w:t xml:space="preserve"> </w:t>
      </w:r>
    </w:p>
    <w:p w14:paraId="55137A36" w14:textId="77777777" w:rsidR="008E64B5" w:rsidRPr="00750DAE" w:rsidRDefault="008E64B5" w:rsidP="00A03AB8">
      <w:pPr>
        <w:spacing w:after="0" w:line="240" w:lineRule="auto"/>
        <w:jc w:val="both"/>
        <w:rPr>
          <w:rFonts w:ascii="Times New Roman" w:eastAsia="Times New Roman" w:hAnsi="Times New Roman" w:cs="Times New Roman"/>
          <w:bCs/>
        </w:rPr>
      </w:pPr>
    </w:p>
    <w:p w14:paraId="13D78140" w14:textId="07DB752F" w:rsidR="008E64B5" w:rsidRPr="00750DAE" w:rsidRDefault="008E64B5"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 xml:space="preserve">This is precisely what </w:t>
      </w:r>
      <w:r w:rsidR="007F4B5D" w:rsidRPr="00750DAE">
        <w:rPr>
          <w:rFonts w:ascii="Times New Roman" w:eastAsia="Times New Roman" w:hAnsi="Times New Roman" w:cs="Times New Roman"/>
          <w:bCs/>
        </w:rPr>
        <w:t xml:space="preserve">the CFPB’s final rule implementing </w:t>
      </w:r>
      <w:r w:rsidRPr="00750DAE">
        <w:rPr>
          <w:rFonts w:ascii="Times New Roman" w:eastAsia="Times New Roman" w:hAnsi="Times New Roman" w:cs="Times New Roman"/>
          <w:bCs/>
        </w:rPr>
        <w:t xml:space="preserve">Section 1033 of the </w:t>
      </w:r>
      <w:r w:rsidR="0004086C" w:rsidRPr="00750DAE">
        <w:rPr>
          <w:rFonts w:ascii="Times New Roman" w:eastAsia="Times New Roman" w:hAnsi="Times New Roman" w:cs="Times New Roman"/>
          <w:bCs/>
        </w:rPr>
        <w:t>Dodd-Frank Wall Street Reform and Consumer Protection Act (“</w:t>
      </w:r>
      <w:r w:rsidR="00C84D12" w:rsidRPr="00750DAE">
        <w:rPr>
          <w:rFonts w:ascii="Times New Roman" w:eastAsia="Times New Roman" w:hAnsi="Times New Roman" w:cs="Times New Roman"/>
          <w:bCs/>
        </w:rPr>
        <w:t>Dodd</w:t>
      </w:r>
      <w:r w:rsidR="00C84D12">
        <w:rPr>
          <w:rFonts w:ascii="Times New Roman" w:eastAsia="Times New Roman" w:hAnsi="Times New Roman" w:cs="Times New Roman"/>
          <w:bCs/>
        </w:rPr>
        <w:t>-</w:t>
      </w:r>
      <w:r w:rsidR="0004086C" w:rsidRPr="00750DAE">
        <w:rPr>
          <w:rFonts w:ascii="Times New Roman" w:eastAsia="Times New Roman" w:hAnsi="Times New Roman" w:cs="Times New Roman"/>
          <w:bCs/>
        </w:rPr>
        <w:t xml:space="preserve">Frank Act”) </w:t>
      </w:r>
      <w:r w:rsidRPr="00750DAE">
        <w:rPr>
          <w:rFonts w:ascii="Times New Roman" w:eastAsia="Times New Roman" w:hAnsi="Times New Roman" w:cs="Times New Roman"/>
          <w:bCs/>
        </w:rPr>
        <w:t>was intended to guarantee.</w:t>
      </w:r>
      <w:r w:rsidR="00C84D12">
        <w:rPr>
          <w:rFonts w:ascii="Times New Roman" w:eastAsia="Times New Roman" w:hAnsi="Times New Roman" w:cs="Times New Roman"/>
          <w:bCs/>
        </w:rPr>
        <w:t xml:space="preserve"> </w:t>
      </w:r>
      <w:r w:rsidR="007F4B5D" w:rsidRPr="00750DAE">
        <w:rPr>
          <w:rFonts w:ascii="Times New Roman" w:eastAsia="Times New Roman" w:hAnsi="Times New Roman" w:cs="Times New Roman"/>
          <w:bCs/>
        </w:rPr>
        <w:t xml:space="preserve">The CFPB </w:t>
      </w:r>
      <w:r w:rsidR="00C84D12">
        <w:rPr>
          <w:rFonts w:ascii="Times New Roman" w:eastAsia="Times New Roman" w:hAnsi="Times New Roman" w:cs="Times New Roman"/>
          <w:bCs/>
        </w:rPr>
        <w:t>last October</w:t>
      </w:r>
      <w:r w:rsidR="00C84D12" w:rsidRPr="00750DAE">
        <w:rPr>
          <w:rFonts w:ascii="Times New Roman" w:eastAsia="Times New Roman" w:hAnsi="Times New Roman" w:cs="Times New Roman"/>
          <w:bCs/>
        </w:rPr>
        <w:t xml:space="preserve"> </w:t>
      </w:r>
      <w:r w:rsidR="00C84D12">
        <w:rPr>
          <w:rFonts w:ascii="Times New Roman" w:eastAsia="Times New Roman" w:hAnsi="Times New Roman" w:cs="Times New Roman"/>
          <w:bCs/>
        </w:rPr>
        <w:t>finalized</w:t>
      </w:r>
      <w:r w:rsidR="00C84D12" w:rsidRPr="00750DAE">
        <w:rPr>
          <w:rFonts w:ascii="Times New Roman" w:eastAsia="Times New Roman" w:hAnsi="Times New Roman" w:cs="Times New Roman"/>
          <w:bCs/>
        </w:rPr>
        <w:t xml:space="preserve"> </w:t>
      </w:r>
      <w:r w:rsidR="007F4B5D" w:rsidRPr="00750DAE">
        <w:rPr>
          <w:rFonts w:ascii="Times New Roman" w:eastAsia="Times New Roman" w:hAnsi="Times New Roman" w:cs="Times New Roman"/>
          <w:bCs/>
        </w:rPr>
        <w:t xml:space="preserve">a </w:t>
      </w:r>
      <w:r w:rsidR="00C84D12">
        <w:rPr>
          <w:rFonts w:ascii="Times New Roman" w:eastAsia="Times New Roman" w:hAnsi="Times New Roman" w:cs="Times New Roman"/>
          <w:bCs/>
        </w:rPr>
        <w:t xml:space="preserve">Section </w:t>
      </w:r>
      <w:r w:rsidR="007F4B5D" w:rsidRPr="00750DAE">
        <w:rPr>
          <w:rFonts w:ascii="Times New Roman" w:eastAsia="Times New Roman" w:hAnsi="Times New Roman" w:cs="Times New Roman"/>
          <w:bCs/>
        </w:rPr>
        <w:t>1033 rule</w:t>
      </w:r>
      <w:r w:rsidR="00C84D12">
        <w:rPr>
          <w:rFonts w:ascii="Times New Roman" w:eastAsia="Times New Roman" w:hAnsi="Times New Roman" w:cs="Times New Roman"/>
          <w:bCs/>
        </w:rPr>
        <w:t xml:space="preserve">making first initiated under </w:t>
      </w:r>
      <w:r w:rsidR="007F4B5D" w:rsidRPr="00750DAE">
        <w:rPr>
          <w:rFonts w:ascii="Times New Roman" w:eastAsia="Times New Roman" w:hAnsi="Times New Roman" w:cs="Times New Roman"/>
          <w:bCs/>
        </w:rPr>
        <w:t xml:space="preserve">the first Trump Administration </w:t>
      </w:r>
      <w:r w:rsidRPr="00750DAE">
        <w:rPr>
          <w:rFonts w:ascii="Times New Roman" w:eastAsia="Times New Roman" w:hAnsi="Times New Roman" w:cs="Times New Roman"/>
          <w:bCs/>
        </w:rPr>
        <w:t xml:space="preserve">that would codify consumers’ rights to </w:t>
      </w:r>
      <w:r w:rsidR="00C84D12">
        <w:rPr>
          <w:rFonts w:ascii="Times New Roman" w:eastAsia="Times New Roman" w:hAnsi="Times New Roman" w:cs="Times New Roman"/>
          <w:bCs/>
        </w:rPr>
        <w:t xml:space="preserve">digitally </w:t>
      </w:r>
      <w:r w:rsidRPr="00750DAE">
        <w:rPr>
          <w:rFonts w:ascii="Times New Roman" w:eastAsia="Times New Roman" w:hAnsi="Times New Roman" w:cs="Times New Roman"/>
          <w:bCs/>
        </w:rPr>
        <w:t xml:space="preserve">access and permission </w:t>
      </w:r>
      <w:r w:rsidR="0004086C" w:rsidRPr="00750DAE">
        <w:rPr>
          <w:rFonts w:ascii="Times New Roman" w:eastAsia="Times New Roman" w:hAnsi="Times New Roman" w:cs="Times New Roman"/>
          <w:bCs/>
        </w:rPr>
        <w:t>their</w:t>
      </w:r>
      <w:r w:rsidRPr="00750DAE">
        <w:rPr>
          <w:rFonts w:ascii="Times New Roman" w:eastAsia="Times New Roman" w:hAnsi="Times New Roman" w:cs="Times New Roman"/>
          <w:bCs/>
        </w:rPr>
        <w:t xml:space="preserve"> data</w:t>
      </w:r>
      <w:r w:rsidR="0004086C" w:rsidRPr="00750DAE">
        <w:rPr>
          <w:rFonts w:ascii="Times New Roman" w:eastAsia="Times New Roman" w:hAnsi="Times New Roman" w:cs="Times New Roman"/>
          <w:bCs/>
        </w:rPr>
        <w:t xml:space="preserve"> with third-party providers of their choosing</w:t>
      </w:r>
      <w:r w:rsidRPr="00750DAE">
        <w:rPr>
          <w:rFonts w:ascii="Times New Roman" w:eastAsia="Times New Roman" w:hAnsi="Times New Roman" w:cs="Times New Roman"/>
          <w:bCs/>
        </w:rPr>
        <w:t>. Th</w:t>
      </w:r>
      <w:r w:rsidR="0004086C" w:rsidRPr="00750DAE">
        <w:rPr>
          <w:rFonts w:ascii="Times New Roman" w:eastAsia="Times New Roman" w:hAnsi="Times New Roman" w:cs="Times New Roman"/>
          <w:bCs/>
        </w:rPr>
        <w:t xml:space="preserve">is </w:t>
      </w:r>
      <w:r w:rsidRPr="00750DAE">
        <w:rPr>
          <w:rFonts w:ascii="Times New Roman" w:eastAsia="Times New Roman" w:hAnsi="Times New Roman" w:cs="Times New Roman"/>
          <w:bCs/>
        </w:rPr>
        <w:t>rule would provide the legal and technical foundation for services like pay-by-bank to operate at scale</w:t>
      </w:r>
      <w:r w:rsidR="00C84D12">
        <w:rPr>
          <w:rFonts w:ascii="Times New Roman" w:eastAsia="Times New Roman" w:hAnsi="Times New Roman" w:cs="Times New Roman"/>
          <w:bCs/>
        </w:rPr>
        <w:t xml:space="preserve">, </w:t>
      </w:r>
      <w:r w:rsidRPr="00750DAE">
        <w:rPr>
          <w:rFonts w:ascii="Times New Roman" w:eastAsia="Times New Roman" w:hAnsi="Times New Roman" w:cs="Times New Roman"/>
          <w:bCs/>
        </w:rPr>
        <w:t xml:space="preserve">ensuring that both new entrants and regulated incumbents could compete on a level playing field. However, </w:t>
      </w:r>
      <w:r w:rsidR="007F4B5D" w:rsidRPr="00750DAE">
        <w:rPr>
          <w:rFonts w:ascii="Times New Roman" w:eastAsia="Times New Roman" w:hAnsi="Times New Roman" w:cs="Times New Roman"/>
          <w:bCs/>
        </w:rPr>
        <w:t xml:space="preserve">new CFPB leadership recently filed a motion for summary judgment seeking to vacate </w:t>
      </w:r>
      <w:r w:rsidR="00C84D12">
        <w:rPr>
          <w:rFonts w:ascii="Times New Roman" w:eastAsia="Times New Roman" w:hAnsi="Times New Roman" w:cs="Times New Roman"/>
          <w:bCs/>
        </w:rPr>
        <w:t xml:space="preserve">the October rulemaking </w:t>
      </w:r>
      <w:r w:rsidR="007F4B5D" w:rsidRPr="00750DAE">
        <w:rPr>
          <w:rFonts w:ascii="Times New Roman" w:eastAsia="Times New Roman" w:hAnsi="Times New Roman" w:cs="Times New Roman"/>
          <w:bCs/>
        </w:rPr>
        <w:t>in a lawsuit brought by the largest banks, who stand the most to lose by phasing out legacy payment methods.</w:t>
      </w:r>
      <w:r w:rsidR="00EB5F96" w:rsidRPr="00750DAE">
        <w:rPr>
          <w:rStyle w:val="FootnoteReference"/>
          <w:rFonts w:ascii="Times New Roman" w:eastAsia="Times New Roman" w:hAnsi="Times New Roman" w:cs="Times New Roman"/>
          <w:bCs/>
        </w:rPr>
        <w:footnoteReference w:id="6"/>
      </w:r>
      <w:r w:rsidR="007F4B5D" w:rsidRPr="00750DAE">
        <w:rPr>
          <w:rFonts w:ascii="Times New Roman" w:eastAsia="Times New Roman" w:hAnsi="Times New Roman" w:cs="Times New Roman"/>
          <w:bCs/>
        </w:rPr>
        <w:t xml:space="preserve"> Worse, the CFPB’s new leadership has put forward a</w:t>
      </w:r>
      <w:r w:rsidR="00EA4B54">
        <w:rPr>
          <w:rFonts w:ascii="Times New Roman" w:eastAsia="Times New Roman" w:hAnsi="Times New Roman" w:cs="Times New Roman"/>
          <w:bCs/>
        </w:rPr>
        <w:t xml:space="preserve"> mistaken </w:t>
      </w:r>
      <w:r w:rsidR="007F4B5D" w:rsidRPr="00750DAE">
        <w:rPr>
          <w:rFonts w:ascii="Times New Roman" w:eastAsia="Times New Roman" w:hAnsi="Times New Roman" w:cs="Times New Roman"/>
          <w:bCs/>
        </w:rPr>
        <w:t>interpretation of Section 1033 that defies the Treasury Department’s recommendations under the first Trump Administration, not to mention longstanding bipartisan support for open banking and pay-by-bank.</w:t>
      </w:r>
      <w:r w:rsidR="007F4B5D" w:rsidRPr="00750DAE">
        <w:rPr>
          <w:rStyle w:val="FootnoteReference"/>
          <w:rFonts w:ascii="Times New Roman" w:eastAsia="Times New Roman" w:hAnsi="Times New Roman" w:cs="Times New Roman"/>
          <w:bCs/>
        </w:rPr>
        <w:footnoteReference w:id="7"/>
      </w:r>
      <w:r w:rsidR="00C24F9F" w:rsidRPr="00750DAE">
        <w:rPr>
          <w:rFonts w:ascii="Times New Roman" w:eastAsia="Times New Roman" w:hAnsi="Times New Roman" w:cs="Times New Roman"/>
          <w:bCs/>
          <w:vertAlign w:val="superscript"/>
        </w:rPr>
        <w:t>,</w:t>
      </w:r>
      <w:r w:rsidR="00891F00" w:rsidRPr="00750DAE">
        <w:rPr>
          <w:rStyle w:val="FootnoteReference"/>
          <w:rFonts w:ascii="Times New Roman" w:eastAsia="Times New Roman" w:hAnsi="Times New Roman" w:cs="Times New Roman"/>
          <w:bCs/>
        </w:rPr>
        <w:footnoteReference w:id="8"/>
      </w:r>
      <w:r w:rsidR="007F4B5D" w:rsidRPr="00750DAE">
        <w:rPr>
          <w:rFonts w:ascii="Times New Roman" w:eastAsia="Times New Roman" w:hAnsi="Times New Roman" w:cs="Times New Roman"/>
          <w:bCs/>
        </w:rPr>
        <w:t xml:space="preserve"> In the wake of this abrupt about-face by the CFPB, consumers, small businesses, </w:t>
      </w:r>
      <w:r w:rsidRPr="00750DAE">
        <w:rPr>
          <w:rFonts w:ascii="Times New Roman" w:eastAsia="Times New Roman" w:hAnsi="Times New Roman" w:cs="Times New Roman"/>
          <w:bCs/>
        </w:rPr>
        <w:t>fintech innovators, and even regulated financial institutions are now operating in a fragmented and uncertain data access environment.</w:t>
      </w:r>
      <w:r w:rsidR="007F4B5D" w:rsidRPr="00750DAE">
        <w:rPr>
          <w:rFonts w:ascii="Times New Roman" w:eastAsia="Times New Roman" w:hAnsi="Times New Roman" w:cs="Times New Roman"/>
          <w:bCs/>
        </w:rPr>
        <w:t xml:space="preserve"> The future of pay-by-bank for any use case, including government payments, has never been more in doubt.</w:t>
      </w:r>
      <w:r w:rsidR="007F4B5D" w:rsidRPr="00750DAE">
        <w:rPr>
          <w:rStyle w:val="FootnoteReference"/>
          <w:rFonts w:ascii="Times New Roman" w:eastAsia="Times New Roman" w:hAnsi="Times New Roman" w:cs="Times New Roman"/>
          <w:bCs/>
        </w:rPr>
        <w:footnoteReference w:id="9"/>
      </w:r>
      <w:r w:rsidR="00A03AB8" w:rsidRPr="00750DAE">
        <w:rPr>
          <w:rFonts w:ascii="Times New Roman" w:eastAsia="Times New Roman" w:hAnsi="Times New Roman" w:cs="Times New Roman"/>
          <w:bCs/>
        </w:rPr>
        <w:t xml:space="preserve"> </w:t>
      </w:r>
      <w:r w:rsidRPr="00750DAE">
        <w:rPr>
          <w:rFonts w:ascii="Times New Roman" w:eastAsia="Times New Roman" w:hAnsi="Times New Roman" w:cs="Times New Roman"/>
          <w:bCs/>
        </w:rPr>
        <w:t>This uncertainty threatens more than innovation</w:t>
      </w:r>
      <w:r w:rsidR="00EA4B54">
        <w:rPr>
          <w:rFonts w:ascii="Times New Roman" w:eastAsia="Times New Roman" w:hAnsi="Times New Roman" w:cs="Times New Roman"/>
          <w:bCs/>
        </w:rPr>
        <w:t>. I</w:t>
      </w:r>
      <w:r w:rsidRPr="00750DAE">
        <w:rPr>
          <w:rFonts w:ascii="Times New Roman" w:eastAsia="Times New Roman" w:hAnsi="Times New Roman" w:cs="Times New Roman"/>
          <w:bCs/>
        </w:rPr>
        <w:t xml:space="preserve">t undermines the very goals Treasury articulated in its RFI: to defend against financial fraud and improper payments, increase efficiency, reduce costs, and enhance the security of federal disbursements. These objectives depend on enabling competition in the payments ecosystem, and </w:t>
      </w:r>
      <w:r w:rsidR="007F4B5D" w:rsidRPr="00750DAE">
        <w:rPr>
          <w:rFonts w:ascii="Times New Roman" w:eastAsia="Times New Roman" w:hAnsi="Times New Roman" w:cs="Times New Roman"/>
          <w:bCs/>
        </w:rPr>
        <w:t xml:space="preserve">data portability that enables </w:t>
      </w:r>
      <w:r w:rsidR="00891F00" w:rsidRPr="00750DAE">
        <w:rPr>
          <w:rFonts w:ascii="Times New Roman" w:eastAsia="Times New Roman" w:hAnsi="Times New Roman" w:cs="Times New Roman"/>
          <w:bCs/>
        </w:rPr>
        <w:t>low-cost</w:t>
      </w:r>
      <w:r w:rsidR="007F4B5D" w:rsidRPr="00750DAE">
        <w:rPr>
          <w:rFonts w:ascii="Times New Roman" w:eastAsia="Times New Roman" w:hAnsi="Times New Roman" w:cs="Times New Roman"/>
          <w:bCs/>
        </w:rPr>
        <w:t xml:space="preserve"> payment alternatives </w:t>
      </w:r>
      <w:r w:rsidRPr="00750DAE">
        <w:rPr>
          <w:rFonts w:ascii="Times New Roman" w:eastAsia="Times New Roman" w:hAnsi="Times New Roman" w:cs="Times New Roman"/>
          <w:bCs/>
        </w:rPr>
        <w:t>is a core mechanism for delivering that competition.</w:t>
      </w:r>
    </w:p>
    <w:p w14:paraId="4D862AF2" w14:textId="77777777" w:rsidR="008E64B5" w:rsidRPr="00750DAE" w:rsidRDefault="008E64B5" w:rsidP="00A03AB8">
      <w:pPr>
        <w:spacing w:after="0" w:line="240" w:lineRule="auto"/>
        <w:jc w:val="both"/>
        <w:rPr>
          <w:rFonts w:ascii="Times New Roman" w:eastAsia="Times New Roman" w:hAnsi="Times New Roman" w:cs="Times New Roman"/>
          <w:bCs/>
        </w:rPr>
      </w:pPr>
    </w:p>
    <w:p w14:paraId="060E5A47" w14:textId="632D32D1" w:rsidR="007F4B5D" w:rsidRPr="00750DAE" w:rsidRDefault="008E64B5"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 xml:space="preserve">Without a clear legal framework that ensures access to </w:t>
      </w:r>
      <w:r w:rsidR="007F4B5D" w:rsidRPr="00750DAE">
        <w:rPr>
          <w:rFonts w:ascii="Times New Roman" w:eastAsia="Times New Roman" w:hAnsi="Times New Roman" w:cs="Times New Roman"/>
          <w:bCs/>
        </w:rPr>
        <w:t>consumer-permissioned financial data</w:t>
      </w:r>
      <w:r w:rsidRPr="00750DAE">
        <w:rPr>
          <w:rFonts w:ascii="Times New Roman" w:eastAsia="Times New Roman" w:hAnsi="Times New Roman" w:cs="Times New Roman"/>
          <w:bCs/>
        </w:rPr>
        <w:t>, services like pay-by-bank will remain limited by denied connectivity, restrictive contract terms</w:t>
      </w:r>
      <w:r w:rsidR="007F4B5D" w:rsidRPr="00750DAE">
        <w:rPr>
          <w:rFonts w:ascii="Times New Roman" w:eastAsia="Times New Roman" w:hAnsi="Times New Roman" w:cs="Times New Roman"/>
          <w:bCs/>
        </w:rPr>
        <w:t>, and continued bank efforts to steer consumers toward service providers they own</w:t>
      </w:r>
      <w:r w:rsidRPr="00750DAE">
        <w:rPr>
          <w:rFonts w:ascii="Times New Roman" w:eastAsia="Times New Roman" w:hAnsi="Times New Roman" w:cs="Times New Roman"/>
          <w:bCs/>
        </w:rPr>
        <w:t xml:space="preserve">. </w:t>
      </w:r>
      <w:r w:rsidR="007F4B5D" w:rsidRPr="00750DAE">
        <w:rPr>
          <w:rFonts w:ascii="Times New Roman" w:eastAsia="Times New Roman" w:hAnsi="Times New Roman" w:cs="Times New Roman"/>
          <w:bCs/>
        </w:rPr>
        <w:t>In this environment</w:t>
      </w:r>
      <w:r w:rsidR="00EA4B54">
        <w:rPr>
          <w:rFonts w:ascii="Times New Roman" w:eastAsia="Times New Roman" w:hAnsi="Times New Roman" w:cs="Times New Roman"/>
          <w:bCs/>
        </w:rPr>
        <w:t>,</w:t>
      </w:r>
      <w:r w:rsidR="007F4B5D" w:rsidRPr="00750DAE">
        <w:rPr>
          <w:rFonts w:ascii="Times New Roman" w:eastAsia="Times New Roman" w:hAnsi="Times New Roman" w:cs="Times New Roman"/>
          <w:bCs/>
        </w:rPr>
        <w:t xml:space="preserve"> it will be doubly hard to eliminate the use of paper checks, since they will remain a low-cost (if antiquated) payment option that many consumers and small businesses will continue to demand. </w:t>
      </w:r>
    </w:p>
    <w:p w14:paraId="66BA0A30" w14:textId="77777777" w:rsidR="007F4B5D" w:rsidRPr="00750DAE" w:rsidRDefault="007F4B5D" w:rsidP="00A03AB8">
      <w:pPr>
        <w:spacing w:after="0" w:line="240" w:lineRule="auto"/>
        <w:jc w:val="both"/>
        <w:rPr>
          <w:rFonts w:ascii="Times New Roman" w:eastAsia="Times New Roman" w:hAnsi="Times New Roman" w:cs="Times New Roman"/>
          <w:bCs/>
        </w:rPr>
      </w:pPr>
    </w:p>
    <w:p w14:paraId="131BE55F" w14:textId="092B4519" w:rsidR="00820035" w:rsidRPr="00750DAE" w:rsidRDefault="007F4B5D" w:rsidP="00A03AB8">
      <w:pPr>
        <w:spacing w:after="0" w:line="240" w:lineRule="auto"/>
        <w:jc w:val="both"/>
        <w:rPr>
          <w:rFonts w:ascii="Times New Roman" w:eastAsia="Times New Roman" w:hAnsi="Times New Roman" w:cs="Times New Roman"/>
          <w:bCs/>
        </w:rPr>
      </w:pPr>
      <w:r w:rsidRPr="00750DAE">
        <w:rPr>
          <w:rFonts w:ascii="Times New Roman" w:eastAsia="Times New Roman" w:hAnsi="Times New Roman" w:cs="Times New Roman"/>
          <w:bCs/>
        </w:rPr>
        <w:t>As recently as the start of this year</w:t>
      </w:r>
      <w:r w:rsidR="00EA4B54">
        <w:rPr>
          <w:rFonts w:ascii="Times New Roman" w:eastAsia="Times New Roman" w:hAnsi="Times New Roman" w:cs="Times New Roman"/>
          <w:bCs/>
        </w:rPr>
        <w:t>,</w:t>
      </w:r>
      <w:r w:rsidRPr="00750DAE">
        <w:rPr>
          <w:rFonts w:ascii="Times New Roman" w:eastAsia="Times New Roman" w:hAnsi="Times New Roman" w:cs="Times New Roman"/>
          <w:bCs/>
        </w:rPr>
        <w:t xml:space="preserve"> the financial services sector looked ready to move beyond the days of paper checks, in part ushered along by the momentum provided by the CFPB’s final rule on Section 1033 of the Dodd-Frank Act. </w:t>
      </w:r>
      <w:r w:rsidR="00EA4B54">
        <w:rPr>
          <w:rFonts w:ascii="Times New Roman" w:eastAsia="Times New Roman" w:hAnsi="Times New Roman" w:cs="Times New Roman"/>
          <w:bCs/>
        </w:rPr>
        <w:t>The absence of such a regulatory provision of financial data sharing rights threatens to undermine that reality.</w:t>
      </w:r>
    </w:p>
    <w:p w14:paraId="7A703963" w14:textId="77777777" w:rsidR="008E64B5" w:rsidRPr="00750DAE" w:rsidRDefault="008E64B5" w:rsidP="00A03AB8">
      <w:pPr>
        <w:spacing w:after="0" w:line="240" w:lineRule="auto"/>
        <w:jc w:val="both"/>
        <w:rPr>
          <w:rFonts w:ascii="Times New Roman" w:eastAsia="Times New Roman" w:hAnsi="Times New Roman" w:cs="Times New Roman"/>
          <w:b/>
          <w:u w:val="single"/>
        </w:rPr>
      </w:pPr>
    </w:p>
    <w:p w14:paraId="0B10C667" w14:textId="1FE0EE1F" w:rsidR="00BE2470" w:rsidRPr="00750DAE" w:rsidRDefault="00591AA2" w:rsidP="00A03AB8">
      <w:pPr>
        <w:spacing w:after="0" w:line="240" w:lineRule="auto"/>
        <w:jc w:val="both"/>
        <w:rPr>
          <w:rFonts w:ascii="Times New Roman" w:eastAsia="Times New Roman" w:hAnsi="Times New Roman" w:cs="Times New Roman"/>
          <w:u w:val="single"/>
        </w:rPr>
      </w:pPr>
      <w:r w:rsidRPr="00750DAE">
        <w:rPr>
          <w:rFonts w:ascii="Times New Roman" w:eastAsia="Times New Roman" w:hAnsi="Times New Roman" w:cs="Times New Roman"/>
          <w:b/>
          <w:u w:val="single"/>
        </w:rPr>
        <w:t>Conclusion</w:t>
      </w:r>
    </w:p>
    <w:p w14:paraId="60817205" w14:textId="5C068C53" w:rsidR="00313B60" w:rsidRPr="00750DAE" w:rsidRDefault="00313B60" w:rsidP="00A03AB8">
      <w:pPr>
        <w:pStyle w:val="NormalWeb"/>
        <w:spacing w:before="0" w:beforeAutospacing="0"/>
        <w:rPr>
          <w:sz w:val="22"/>
          <w:szCs w:val="22"/>
        </w:rPr>
      </w:pPr>
      <w:r w:rsidRPr="00750DAE">
        <w:rPr>
          <w:sz w:val="22"/>
          <w:szCs w:val="22"/>
        </w:rPr>
        <w:t xml:space="preserve">The goals of </w:t>
      </w:r>
      <w:r w:rsidR="00A03AB8" w:rsidRPr="00750DAE">
        <w:rPr>
          <w:sz w:val="22"/>
          <w:szCs w:val="22"/>
        </w:rPr>
        <w:t>EO</w:t>
      </w:r>
      <w:r w:rsidRPr="00750DAE">
        <w:rPr>
          <w:sz w:val="22"/>
          <w:szCs w:val="22"/>
        </w:rPr>
        <w:t xml:space="preserve"> 14247—reducing fraud, increasing efficiency, and improving payment security—can only be met by embracing open banking and enabling competition in the payments ecosystem.</w:t>
      </w:r>
    </w:p>
    <w:p w14:paraId="61001C01" w14:textId="6D5A91D4" w:rsidR="00313B60" w:rsidRPr="00750DAE" w:rsidRDefault="00313B60" w:rsidP="00A03AB8">
      <w:pPr>
        <w:pStyle w:val="NormalWeb"/>
        <w:rPr>
          <w:sz w:val="22"/>
          <w:szCs w:val="22"/>
        </w:rPr>
      </w:pPr>
      <w:r w:rsidRPr="00750DAE">
        <w:rPr>
          <w:rStyle w:val="Strong"/>
          <w:b w:val="0"/>
          <w:bCs w:val="0"/>
          <w:sz w:val="22"/>
          <w:szCs w:val="22"/>
        </w:rPr>
        <w:t>Pay-by-bank</w:t>
      </w:r>
      <w:r w:rsidRPr="00750DAE">
        <w:rPr>
          <w:sz w:val="22"/>
          <w:szCs w:val="22"/>
        </w:rPr>
        <w:t xml:space="preserve"> offers a </w:t>
      </w:r>
      <w:r w:rsidR="00EA4B54">
        <w:rPr>
          <w:sz w:val="22"/>
          <w:szCs w:val="22"/>
        </w:rPr>
        <w:t xml:space="preserve">more </w:t>
      </w:r>
      <w:r w:rsidRPr="00750DAE">
        <w:rPr>
          <w:sz w:val="22"/>
          <w:szCs w:val="22"/>
        </w:rPr>
        <w:t>secure, low</w:t>
      </w:r>
      <w:r w:rsidR="00EA4B54">
        <w:rPr>
          <w:sz w:val="22"/>
          <w:szCs w:val="22"/>
        </w:rPr>
        <w:t>er</w:t>
      </w:r>
      <w:r w:rsidRPr="00750DAE">
        <w:rPr>
          <w:sz w:val="22"/>
          <w:szCs w:val="22"/>
        </w:rPr>
        <w:t xml:space="preserve">-cost alternative to checks, but scaling it requires a clear legal framework for </w:t>
      </w:r>
      <w:r w:rsidRPr="00750DAE">
        <w:rPr>
          <w:rStyle w:val="Strong"/>
          <w:b w:val="0"/>
          <w:bCs w:val="0"/>
          <w:sz w:val="22"/>
          <w:szCs w:val="22"/>
        </w:rPr>
        <w:t>consumer-permissioned data access</w:t>
      </w:r>
      <w:r w:rsidRPr="00750DAE">
        <w:rPr>
          <w:sz w:val="22"/>
          <w:szCs w:val="22"/>
        </w:rPr>
        <w:t xml:space="preserve">, including </w:t>
      </w:r>
      <w:r w:rsidR="007F4B5D" w:rsidRPr="00750DAE">
        <w:rPr>
          <w:sz w:val="22"/>
          <w:szCs w:val="22"/>
        </w:rPr>
        <w:t xml:space="preserve">access to </w:t>
      </w:r>
      <w:r w:rsidRPr="00750DAE">
        <w:rPr>
          <w:sz w:val="22"/>
          <w:szCs w:val="22"/>
        </w:rPr>
        <w:t>payment initiation</w:t>
      </w:r>
      <w:r w:rsidR="007F4B5D" w:rsidRPr="00750DAE">
        <w:rPr>
          <w:sz w:val="22"/>
          <w:szCs w:val="22"/>
        </w:rPr>
        <w:t xml:space="preserve"> information</w:t>
      </w:r>
      <w:r w:rsidRPr="00750DAE">
        <w:rPr>
          <w:sz w:val="22"/>
          <w:szCs w:val="22"/>
        </w:rPr>
        <w:t xml:space="preserve">. </w:t>
      </w:r>
      <w:r w:rsidR="007F4B5D" w:rsidRPr="00750DAE">
        <w:rPr>
          <w:sz w:val="22"/>
          <w:szCs w:val="22"/>
        </w:rPr>
        <w:t xml:space="preserve">The CFPB’s final rule on </w:t>
      </w:r>
      <w:r w:rsidRPr="00750DAE">
        <w:rPr>
          <w:rStyle w:val="Strong"/>
          <w:b w:val="0"/>
          <w:bCs w:val="0"/>
          <w:sz w:val="22"/>
          <w:szCs w:val="22"/>
        </w:rPr>
        <w:t>Section 1033 of the Dodd-Frank Act provide</w:t>
      </w:r>
      <w:r w:rsidR="00EA4B54">
        <w:rPr>
          <w:rStyle w:val="Strong"/>
          <w:b w:val="0"/>
          <w:bCs w:val="0"/>
          <w:sz w:val="22"/>
          <w:szCs w:val="22"/>
        </w:rPr>
        <w:t>d</w:t>
      </w:r>
      <w:r w:rsidRPr="00750DAE">
        <w:rPr>
          <w:rStyle w:val="Strong"/>
          <w:b w:val="0"/>
          <w:bCs w:val="0"/>
          <w:sz w:val="22"/>
          <w:szCs w:val="22"/>
        </w:rPr>
        <w:t xml:space="preserve"> that </w:t>
      </w:r>
      <w:r w:rsidR="00B264CB" w:rsidRPr="00750DAE">
        <w:rPr>
          <w:rStyle w:val="Strong"/>
          <w:b w:val="0"/>
          <w:bCs w:val="0"/>
          <w:sz w:val="22"/>
          <w:szCs w:val="22"/>
        </w:rPr>
        <w:t>foundation</w:t>
      </w:r>
      <w:r w:rsidR="00B264CB">
        <w:rPr>
          <w:rStyle w:val="Strong"/>
          <w:b w:val="0"/>
          <w:bCs w:val="0"/>
          <w:sz w:val="22"/>
          <w:szCs w:val="22"/>
        </w:rPr>
        <w:t xml:space="preserve"> but</w:t>
      </w:r>
      <w:r w:rsidR="007F4B5D" w:rsidRPr="00750DAE">
        <w:rPr>
          <w:rStyle w:val="Strong"/>
          <w:b w:val="0"/>
          <w:bCs w:val="0"/>
          <w:sz w:val="22"/>
          <w:szCs w:val="22"/>
        </w:rPr>
        <w:t xml:space="preserve"> is at significant risk </w:t>
      </w:r>
      <w:r w:rsidR="00EA4B54">
        <w:rPr>
          <w:rStyle w:val="Strong"/>
          <w:b w:val="0"/>
          <w:bCs w:val="0"/>
          <w:sz w:val="22"/>
          <w:szCs w:val="22"/>
        </w:rPr>
        <w:t>based on new CFPB leadership’s decision to seek to vacate the rule</w:t>
      </w:r>
      <w:r w:rsidRPr="00750DAE">
        <w:rPr>
          <w:rStyle w:val="Strong"/>
          <w:b w:val="0"/>
          <w:bCs w:val="0"/>
          <w:sz w:val="22"/>
          <w:szCs w:val="22"/>
        </w:rPr>
        <w:t>.</w:t>
      </w:r>
    </w:p>
    <w:p w14:paraId="5C3F4BAC" w14:textId="77777777" w:rsidR="00313B60" w:rsidRPr="00750DAE" w:rsidRDefault="00313B60" w:rsidP="00A03AB8">
      <w:pPr>
        <w:pStyle w:val="NormalWeb"/>
        <w:rPr>
          <w:sz w:val="22"/>
          <w:szCs w:val="22"/>
        </w:rPr>
      </w:pPr>
      <w:r w:rsidRPr="00750DAE">
        <w:rPr>
          <w:sz w:val="22"/>
          <w:szCs w:val="22"/>
        </w:rPr>
        <w:t>FDATA urges Treasury to:</w:t>
      </w:r>
    </w:p>
    <w:p w14:paraId="20D3409F" w14:textId="77777777" w:rsidR="007F4B5D" w:rsidRPr="00750DAE" w:rsidRDefault="00313B60" w:rsidP="00A03AB8">
      <w:pPr>
        <w:pStyle w:val="NormalWeb"/>
        <w:numPr>
          <w:ilvl w:val="0"/>
          <w:numId w:val="15"/>
        </w:numPr>
        <w:rPr>
          <w:sz w:val="22"/>
          <w:szCs w:val="22"/>
        </w:rPr>
      </w:pPr>
      <w:r w:rsidRPr="00750DAE">
        <w:rPr>
          <w:sz w:val="22"/>
          <w:szCs w:val="22"/>
        </w:rPr>
        <w:t xml:space="preserve">Recognize pay-by-bank as a key tool to reduce check fraud; </w:t>
      </w:r>
    </w:p>
    <w:p w14:paraId="0346E240" w14:textId="0D40BDDF" w:rsidR="00313B60" w:rsidRPr="00750DAE" w:rsidRDefault="007F4B5D" w:rsidP="00A03AB8">
      <w:pPr>
        <w:pStyle w:val="NormalWeb"/>
        <w:numPr>
          <w:ilvl w:val="0"/>
          <w:numId w:val="15"/>
        </w:numPr>
        <w:rPr>
          <w:sz w:val="22"/>
          <w:szCs w:val="22"/>
        </w:rPr>
      </w:pPr>
      <w:r w:rsidRPr="00750DAE">
        <w:rPr>
          <w:sz w:val="22"/>
          <w:szCs w:val="22"/>
        </w:rPr>
        <w:t xml:space="preserve">Encourage the CFPB to reverse course on Section 1033 to avoid undermining EO 14247; </w:t>
      </w:r>
      <w:r w:rsidR="00313B60" w:rsidRPr="00750DAE">
        <w:rPr>
          <w:sz w:val="22"/>
          <w:szCs w:val="22"/>
        </w:rPr>
        <w:t>and</w:t>
      </w:r>
    </w:p>
    <w:p w14:paraId="51625FC8" w14:textId="406C2ED4" w:rsidR="00313B60" w:rsidRPr="00750DAE" w:rsidRDefault="00313B60" w:rsidP="00A03AB8">
      <w:pPr>
        <w:pStyle w:val="NormalWeb"/>
        <w:numPr>
          <w:ilvl w:val="0"/>
          <w:numId w:val="15"/>
        </w:numPr>
        <w:rPr>
          <w:sz w:val="22"/>
          <w:szCs w:val="22"/>
        </w:rPr>
      </w:pPr>
      <w:r w:rsidRPr="00750DAE">
        <w:rPr>
          <w:sz w:val="22"/>
          <w:szCs w:val="22"/>
        </w:rPr>
        <w:t xml:space="preserve">Support </w:t>
      </w:r>
      <w:r w:rsidR="007F4B5D" w:rsidRPr="00750DAE">
        <w:rPr>
          <w:sz w:val="22"/>
          <w:szCs w:val="22"/>
        </w:rPr>
        <w:t>progress on open banking</w:t>
      </w:r>
      <w:r w:rsidRPr="00750DAE">
        <w:rPr>
          <w:sz w:val="22"/>
          <w:szCs w:val="22"/>
        </w:rPr>
        <w:t>, with payment</w:t>
      </w:r>
      <w:r w:rsidR="007F4B5D" w:rsidRPr="00750DAE">
        <w:rPr>
          <w:sz w:val="22"/>
          <w:szCs w:val="22"/>
        </w:rPr>
        <w:t xml:space="preserve">s recognized </w:t>
      </w:r>
      <w:r w:rsidRPr="00750DAE">
        <w:rPr>
          <w:sz w:val="22"/>
          <w:szCs w:val="22"/>
        </w:rPr>
        <w:t xml:space="preserve">as a </w:t>
      </w:r>
      <w:r w:rsidR="00EA4B54">
        <w:rPr>
          <w:sz w:val="22"/>
          <w:szCs w:val="22"/>
        </w:rPr>
        <w:t xml:space="preserve">critical and </w:t>
      </w:r>
      <w:r w:rsidRPr="00750DAE">
        <w:rPr>
          <w:sz w:val="22"/>
          <w:szCs w:val="22"/>
        </w:rPr>
        <w:t>protected use case.</w:t>
      </w:r>
    </w:p>
    <w:p w14:paraId="46014DC8" w14:textId="77777777" w:rsidR="00313B60" w:rsidRPr="00750DAE" w:rsidRDefault="00313B60" w:rsidP="00A03AB8">
      <w:pPr>
        <w:pStyle w:val="NormalWeb"/>
        <w:rPr>
          <w:sz w:val="22"/>
          <w:szCs w:val="22"/>
        </w:rPr>
      </w:pPr>
      <w:r w:rsidRPr="00750DAE">
        <w:rPr>
          <w:sz w:val="22"/>
          <w:szCs w:val="22"/>
        </w:rPr>
        <w:t>We appreciate the opportunity to provide input and look forward to continued engagement.</w:t>
      </w:r>
    </w:p>
    <w:p w14:paraId="18E7ED1E" w14:textId="24BAFCC1" w:rsidR="00BE2470" w:rsidRPr="00750DAE" w:rsidRDefault="00591AA2" w:rsidP="00A03AB8">
      <w:pPr>
        <w:spacing w:after="0" w:line="240" w:lineRule="auto"/>
        <w:ind w:left="3600" w:firstLine="720"/>
        <w:rPr>
          <w:rFonts w:ascii="Times New Roman" w:eastAsia="Times New Roman" w:hAnsi="Times New Roman" w:cs="Times New Roman"/>
        </w:rPr>
      </w:pPr>
      <w:r w:rsidRPr="00750DAE">
        <w:rPr>
          <w:rFonts w:ascii="Times New Roman" w:eastAsia="Times New Roman" w:hAnsi="Times New Roman" w:cs="Times New Roman"/>
        </w:rPr>
        <w:t>Sincerely,</w:t>
      </w:r>
    </w:p>
    <w:p w14:paraId="14805A4A" w14:textId="77777777" w:rsidR="00BE2470" w:rsidRPr="00840848" w:rsidRDefault="00591AA2">
      <w:pPr>
        <w:tabs>
          <w:tab w:val="left" w:pos="4230"/>
        </w:tabs>
        <w:spacing w:after="0" w:line="240" w:lineRule="auto"/>
        <w:rPr>
          <w:rFonts w:ascii="Times New Roman" w:eastAsia="Times New Roman" w:hAnsi="Times New Roman" w:cs="Times New Roman"/>
          <w:sz w:val="24"/>
          <w:szCs w:val="24"/>
        </w:rPr>
      </w:pPr>
      <w:r w:rsidRPr="00840848">
        <w:rPr>
          <w:rFonts w:ascii="Times New Roman" w:eastAsia="Times New Roman" w:hAnsi="Times New Roman" w:cs="Times New Roman"/>
          <w:sz w:val="24"/>
          <w:szCs w:val="24"/>
        </w:rPr>
        <w:tab/>
      </w:r>
      <w:r w:rsidRPr="00840848">
        <w:rPr>
          <w:rFonts w:ascii="Times New Roman" w:eastAsia="Times New Roman" w:hAnsi="Times New Roman" w:cs="Times New Roman"/>
          <w:noProof/>
          <w:sz w:val="24"/>
          <w:szCs w:val="24"/>
        </w:rPr>
        <w:drawing>
          <wp:inline distT="0" distB="0" distL="0" distR="0" wp14:anchorId="67F7DBB2" wp14:editId="2AB42EE8">
            <wp:extent cx="1473200" cy="6477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73200" cy="647700"/>
                    </a:xfrm>
                    <a:prstGeom prst="rect">
                      <a:avLst/>
                    </a:prstGeom>
                    <a:ln/>
                  </pic:spPr>
                </pic:pic>
              </a:graphicData>
            </a:graphic>
          </wp:inline>
        </w:drawing>
      </w:r>
    </w:p>
    <w:p w14:paraId="1B1490D1" w14:textId="77777777" w:rsidR="00BE2470" w:rsidRPr="00840848" w:rsidRDefault="00BE2470">
      <w:pPr>
        <w:spacing w:after="0" w:line="240" w:lineRule="auto"/>
        <w:rPr>
          <w:rFonts w:ascii="Times New Roman" w:eastAsia="Times New Roman" w:hAnsi="Times New Roman" w:cs="Times New Roman"/>
          <w:sz w:val="24"/>
          <w:szCs w:val="24"/>
        </w:rPr>
      </w:pPr>
    </w:p>
    <w:p w14:paraId="7F0463C9" w14:textId="77777777" w:rsidR="00BE2470" w:rsidRPr="00840848" w:rsidRDefault="00591AA2">
      <w:pPr>
        <w:tabs>
          <w:tab w:val="left" w:pos="4230"/>
        </w:tabs>
        <w:spacing w:after="0" w:line="240" w:lineRule="auto"/>
        <w:rPr>
          <w:rFonts w:ascii="Times New Roman" w:eastAsia="Times New Roman" w:hAnsi="Times New Roman" w:cs="Times New Roman"/>
          <w:sz w:val="24"/>
          <w:szCs w:val="24"/>
        </w:rPr>
      </w:pPr>
      <w:r w:rsidRPr="00840848">
        <w:rPr>
          <w:rFonts w:ascii="Times New Roman" w:eastAsia="Times New Roman" w:hAnsi="Times New Roman" w:cs="Times New Roman"/>
          <w:sz w:val="24"/>
          <w:szCs w:val="24"/>
        </w:rPr>
        <w:tab/>
        <w:t>Steven Boms</w:t>
      </w:r>
    </w:p>
    <w:p w14:paraId="66750942" w14:textId="77777777" w:rsidR="00BE2470" w:rsidRPr="00840848" w:rsidRDefault="00591AA2">
      <w:pPr>
        <w:tabs>
          <w:tab w:val="left" w:pos="4230"/>
        </w:tabs>
        <w:spacing w:after="0" w:line="240" w:lineRule="auto"/>
        <w:rPr>
          <w:rFonts w:ascii="Times New Roman" w:eastAsia="Times New Roman" w:hAnsi="Times New Roman" w:cs="Times New Roman"/>
          <w:sz w:val="24"/>
          <w:szCs w:val="24"/>
        </w:rPr>
      </w:pPr>
      <w:r w:rsidRPr="00840848">
        <w:rPr>
          <w:rFonts w:ascii="Times New Roman" w:eastAsia="Times New Roman" w:hAnsi="Times New Roman" w:cs="Times New Roman"/>
          <w:sz w:val="24"/>
          <w:szCs w:val="24"/>
        </w:rPr>
        <w:tab/>
        <w:t>Executive Director</w:t>
      </w:r>
    </w:p>
    <w:p w14:paraId="65224548" w14:textId="77777777" w:rsidR="00BE2470" w:rsidRPr="00840848" w:rsidRDefault="00BE2470">
      <w:pPr>
        <w:spacing w:line="240" w:lineRule="auto"/>
        <w:rPr>
          <w:rFonts w:ascii="Times New Roman" w:eastAsia="Times New Roman" w:hAnsi="Times New Roman" w:cs="Times New Roman"/>
          <w:sz w:val="24"/>
          <w:szCs w:val="24"/>
        </w:rPr>
      </w:pPr>
    </w:p>
    <w:sectPr w:rsidR="00BE2470" w:rsidRPr="00840848">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2D5C1" w14:textId="77777777" w:rsidR="009C6C01" w:rsidRDefault="009C6C01">
      <w:pPr>
        <w:spacing w:after="0" w:line="240" w:lineRule="auto"/>
      </w:pPr>
      <w:r>
        <w:separator/>
      </w:r>
    </w:p>
  </w:endnote>
  <w:endnote w:type="continuationSeparator" w:id="0">
    <w:p w14:paraId="1A62175F" w14:textId="77777777" w:rsidR="009C6C01" w:rsidRDefault="009C6C01">
      <w:pPr>
        <w:spacing w:after="0" w:line="240" w:lineRule="auto"/>
      </w:pPr>
      <w:r>
        <w:continuationSeparator/>
      </w:r>
    </w:p>
  </w:endnote>
  <w:endnote w:type="continuationNotice" w:id="1">
    <w:p w14:paraId="40ED0121" w14:textId="77777777" w:rsidR="009C6C01" w:rsidRDefault="009C6C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E091" w14:textId="77777777" w:rsidR="00BE2470" w:rsidRDefault="00591AA2">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C6B07">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64CF2A4" w14:textId="77777777" w:rsidR="00BE2470" w:rsidRDefault="00BE247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92496" w14:textId="77777777" w:rsidR="009C6C01" w:rsidRDefault="009C6C01">
      <w:pPr>
        <w:spacing w:after="0" w:line="240" w:lineRule="auto"/>
      </w:pPr>
      <w:r>
        <w:separator/>
      </w:r>
    </w:p>
  </w:footnote>
  <w:footnote w:type="continuationSeparator" w:id="0">
    <w:p w14:paraId="3DC205A0" w14:textId="77777777" w:rsidR="009C6C01" w:rsidRDefault="009C6C01">
      <w:pPr>
        <w:spacing w:after="0" w:line="240" w:lineRule="auto"/>
      </w:pPr>
      <w:r>
        <w:continuationSeparator/>
      </w:r>
    </w:p>
  </w:footnote>
  <w:footnote w:type="continuationNotice" w:id="1">
    <w:p w14:paraId="656FA374" w14:textId="77777777" w:rsidR="009C6C01" w:rsidRDefault="009C6C01">
      <w:pPr>
        <w:spacing w:after="0" w:line="240" w:lineRule="auto"/>
      </w:pPr>
    </w:p>
  </w:footnote>
  <w:footnote w:id="2">
    <w:p w14:paraId="6CE6990D" w14:textId="7A78D537" w:rsidR="00D950C5" w:rsidRPr="00750DAE" w:rsidRDefault="00D950C5">
      <w:pPr>
        <w:pStyle w:val="FootnoteText"/>
        <w:rPr>
          <w:rFonts w:ascii="Times New Roman" w:hAnsi="Times New Roman" w:cs="Times New Roman"/>
        </w:rPr>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Pr="00750DAE">
        <w:rPr>
          <w:rFonts w:ascii="Times New Roman" w:hAnsi="Times New Roman" w:cs="Times New Roman"/>
          <w:i/>
          <w:iCs/>
        </w:rPr>
        <w:t>See</w:t>
      </w:r>
      <w:r w:rsidRPr="00750DAE">
        <w:rPr>
          <w:rFonts w:ascii="Times New Roman" w:hAnsi="Times New Roman" w:cs="Times New Roman"/>
        </w:rPr>
        <w:t xml:space="preserve"> </w:t>
      </w:r>
      <w:r w:rsidR="00CF6E8E" w:rsidRPr="00750DAE">
        <w:rPr>
          <w:rFonts w:ascii="Times New Roman" w:hAnsi="Times New Roman" w:cs="Times New Roman"/>
        </w:rPr>
        <w:t xml:space="preserve">FinCEN Alert on Nationwide Surge in Mail Theft-Related Check fraud Schemes Targeting the U.S. Mail, </w:t>
      </w:r>
      <w:hyperlink r:id="rId1" w:history="1">
        <w:r w:rsidR="00891021" w:rsidRPr="00750DAE">
          <w:rPr>
            <w:rStyle w:val="Hyperlink"/>
            <w:rFonts w:ascii="Times New Roman" w:hAnsi="Times New Roman" w:cs="Times New Roman"/>
          </w:rPr>
          <w:t>https://www.fincen.gov/news/news-releases/fincen-alert-nationwide-surge-mail-theft-related-check-fraud-schemes-targeting</w:t>
        </w:r>
      </w:hyperlink>
      <w:r w:rsidR="00891021" w:rsidRPr="00750DAE">
        <w:rPr>
          <w:rFonts w:ascii="Times New Roman" w:hAnsi="Times New Roman" w:cs="Times New Roman"/>
        </w:rPr>
        <w:t xml:space="preserve">, February 27, 2023. </w:t>
      </w:r>
    </w:p>
  </w:footnote>
  <w:footnote w:id="3">
    <w:p w14:paraId="777D45C7" w14:textId="470951F1" w:rsidR="007F4B5D" w:rsidRPr="00750DAE" w:rsidRDefault="007F4B5D">
      <w:pPr>
        <w:pStyle w:val="FootnoteText"/>
        <w:rPr>
          <w:rFonts w:ascii="Times New Roman" w:hAnsi="Times New Roman" w:cs="Times New Roman"/>
        </w:rPr>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00894926" w:rsidRPr="00750DAE">
        <w:rPr>
          <w:rFonts w:ascii="Times New Roman" w:hAnsi="Times New Roman" w:cs="Times New Roman"/>
          <w:i/>
          <w:iCs/>
        </w:rPr>
        <w:t>See</w:t>
      </w:r>
      <w:r w:rsidR="00894926" w:rsidRPr="00CD4CCF">
        <w:rPr>
          <w:rFonts w:ascii="Times New Roman" w:hAnsi="Times New Roman" w:cs="Times New Roman"/>
        </w:rPr>
        <w:t xml:space="preserve"> “Economic Impact Payments: Uses, pay</w:t>
      </w:r>
      <w:r w:rsidR="00CD4CCF" w:rsidRPr="00CD4CCF">
        <w:rPr>
          <w:rFonts w:ascii="Times New Roman" w:hAnsi="Times New Roman" w:cs="Times New Roman"/>
        </w:rPr>
        <w:t xml:space="preserve">ment methods, and costs to recipients, February 17, 2021, </w:t>
      </w:r>
      <w:hyperlink r:id="rId2" w:history="1">
        <w:r w:rsidR="00CD4CCF" w:rsidRPr="00750DAE">
          <w:rPr>
            <w:rStyle w:val="Hyperlink"/>
            <w:rFonts w:ascii="Times New Roman" w:hAnsi="Times New Roman" w:cs="Times New Roman"/>
          </w:rPr>
          <w:t>https://www.brookings.edu/articles/economic-impact-payments-uses-payment-methods-and-costs-to-recipients/</w:t>
        </w:r>
      </w:hyperlink>
      <w:r w:rsidR="00CD4CCF" w:rsidRPr="000A7AAF">
        <w:rPr>
          <w:rFonts w:ascii="Times New Roman" w:hAnsi="Times New Roman" w:cs="Times New Roman"/>
        </w:rPr>
        <w:t xml:space="preserve">. </w:t>
      </w:r>
    </w:p>
  </w:footnote>
  <w:footnote w:id="4">
    <w:p w14:paraId="2A44DE32" w14:textId="13457B19" w:rsidR="00424CF3" w:rsidRDefault="00424CF3">
      <w:pPr>
        <w:pStyle w:val="FootnoteText"/>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000A7AAF" w:rsidRPr="00750DAE">
        <w:rPr>
          <w:rFonts w:ascii="Times New Roman" w:hAnsi="Times New Roman" w:cs="Times New Roman"/>
          <w:i/>
          <w:iCs/>
        </w:rPr>
        <w:t>See</w:t>
      </w:r>
      <w:r w:rsidR="000A7AAF" w:rsidRPr="00750DAE">
        <w:rPr>
          <w:rFonts w:ascii="Times New Roman" w:hAnsi="Times New Roman" w:cs="Times New Roman"/>
        </w:rPr>
        <w:t xml:space="preserve"> Cost Comparison: Pay-By-Bank vs. Popular Payment Methods, July 23, 2024, </w:t>
      </w:r>
      <w:hyperlink r:id="rId3" w:history="1">
        <w:r w:rsidR="000A7AAF" w:rsidRPr="00750DAE">
          <w:rPr>
            <w:rStyle w:val="Hyperlink"/>
            <w:rFonts w:ascii="Times New Roman" w:hAnsi="Times New Roman" w:cs="Times New Roman"/>
          </w:rPr>
          <w:t>https://www.aeropay.com/blog/pay-by-bank-merchant-cost-comparison</w:t>
        </w:r>
      </w:hyperlink>
      <w:r w:rsidR="000A7AAF" w:rsidRPr="00750DAE">
        <w:rPr>
          <w:rFonts w:ascii="Times New Roman" w:hAnsi="Times New Roman" w:cs="Times New Roman"/>
        </w:rPr>
        <w:t>.</w:t>
      </w:r>
      <w:r w:rsidR="000A7AAF">
        <w:t xml:space="preserve"> </w:t>
      </w:r>
    </w:p>
  </w:footnote>
  <w:footnote w:id="5">
    <w:p w14:paraId="4D90BCCD" w14:textId="3D5138A0" w:rsidR="001F3B2A" w:rsidRPr="00750DAE" w:rsidRDefault="001F3B2A">
      <w:pPr>
        <w:pStyle w:val="FootnoteText"/>
        <w:rPr>
          <w:rFonts w:ascii="Times New Roman" w:hAnsi="Times New Roman" w:cs="Times New Roman"/>
        </w:rPr>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00154E17" w:rsidRPr="00750DAE">
        <w:rPr>
          <w:rFonts w:ascii="Times New Roman" w:hAnsi="Times New Roman" w:cs="Times New Roman"/>
        </w:rPr>
        <w:t xml:space="preserve">An “open banking framework” refers to a regulatory structure that gives consumers and small businesses the legal right to access and share their financial data </w:t>
      </w:r>
      <w:r w:rsidR="00C84D12">
        <w:rPr>
          <w:rFonts w:ascii="Times New Roman" w:hAnsi="Times New Roman" w:cs="Times New Roman"/>
        </w:rPr>
        <w:t xml:space="preserve">electronically </w:t>
      </w:r>
      <w:r w:rsidR="00154E17" w:rsidRPr="00750DAE">
        <w:rPr>
          <w:rFonts w:ascii="Times New Roman" w:hAnsi="Times New Roman" w:cs="Times New Roman"/>
        </w:rPr>
        <w:t xml:space="preserve">with third-party providers of their choice, typically through secure APIs. In the United States, this framework </w:t>
      </w:r>
      <w:r w:rsidR="00C84D12">
        <w:rPr>
          <w:rFonts w:ascii="Times New Roman" w:hAnsi="Times New Roman" w:cs="Times New Roman"/>
        </w:rPr>
        <w:t>is provided under</w:t>
      </w:r>
      <w:r w:rsidR="00154E17" w:rsidRPr="00750DAE">
        <w:rPr>
          <w:rFonts w:ascii="Times New Roman" w:hAnsi="Times New Roman" w:cs="Times New Roman"/>
        </w:rPr>
        <w:t xml:space="preserve"> Section 1033 of the Dodd-Frank Wall Street Reform and Consumer Protection Act, which requires that covered financial institutions make available to consumers, upon request, information concerning their financial products or services. Although the CFPB</w:t>
      </w:r>
      <w:r w:rsidR="00C24F9F">
        <w:rPr>
          <w:rFonts w:ascii="Times New Roman" w:hAnsi="Times New Roman" w:cs="Times New Roman"/>
        </w:rPr>
        <w:t xml:space="preserve"> </w:t>
      </w:r>
      <w:r w:rsidR="00154E17" w:rsidRPr="00750DAE">
        <w:rPr>
          <w:rFonts w:ascii="Times New Roman" w:hAnsi="Times New Roman" w:cs="Times New Roman"/>
        </w:rPr>
        <w:t xml:space="preserve">initiated rulemaking to operationalize this statute, the agency has since </w:t>
      </w:r>
      <w:r w:rsidR="00C84D12">
        <w:rPr>
          <w:rFonts w:ascii="Times New Roman" w:hAnsi="Times New Roman" w:cs="Times New Roman"/>
        </w:rPr>
        <w:t xml:space="preserve">moved to vacate </w:t>
      </w:r>
      <w:r w:rsidR="00154E17" w:rsidRPr="00750DAE">
        <w:rPr>
          <w:rFonts w:ascii="Times New Roman" w:hAnsi="Times New Roman" w:cs="Times New Roman"/>
        </w:rPr>
        <w:t xml:space="preserve">its final rule, </w:t>
      </w:r>
      <w:r w:rsidR="00C84D12">
        <w:rPr>
          <w:rFonts w:ascii="Times New Roman" w:hAnsi="Times New Roman" w:cs="Times New Roman"/>
        </w:rPr>
        <w:t xml:space="preserve">which could </w:t>
      </w:r>
      <w:r w:rsidR="00154E17" w:rsidRPr="00750DAE">
        <w:rPr>
          <w:rFonts w:ascii="Times New Roman" w:hAnsi="Times New Roman" w:cs="Times New Roman"/>
        </w:rPr>
        <w:t>leav</w:t>
      </w:r>
      <w:r w:rsidR="00C84D12">
        <w:rPr>
          <w:rFonts w:ascii="Times New Roman" w:hAnsi="Times New Roman" w:cs="Times New Roman"/>
        </w:rPr>
        <w:t>e</w:t>
      </w:r>
      <w:r w:rsidR="00154E17" w:rsidRPr="00750DAE">
        <w:rPr>
          <w:rFonts w:ascii="Times New Roman" w:hAnsi="Times New Roman" w:cs="Times New Roman"/>
        </w:rPr>
        <w:t xml:space="preserve"> the U.S. without a binding federal standard for consumer-permissioned data access. </w:t>
      </w:r>
    </w:p>
  </w:footnote>
  <w:footnote w:id="6">
    <w:p w14:paraId="453819E9" w14:textId="56D1F231" w:rsidR="00EB5F96" w:rsidRPr="00750DAE" w:rsidRDefault="00EB5F96">
      <w:pPr>
        <w:pStyle w:val="FootnoteText"/>
        <w:rPr>
          <w:rFonts w:ascii="Times New Roman" w:hAnsi="Times New Roman" w:cs="Times New Roman"/>
        </w:rPr>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Pr="00750DAE">
        <w:rPr>
          <w:rFonts w:ascii="Times New Roman" w:hAnsi="Times New Roman" w:cs="Times New Roman"/>
          <w:i/>
          <w:iCs/>
        </w:rPr>
        <w:t>See</w:t>
      </w:r>
      <w:r w:rsidRPr="00750DAE">
        <w:rPr>
          <w:rFonts w:ascii="Times New Roman" w:hAnsi="Times New Roman" w:cs="Times New Roman"/>
        </w:rPr>
        <w:t xml:space="preserve"> Defendants’ Memorandum In Support Of Their Motion For Summary Judgement, May 30, 2025, </w:t>
      </w:r>
      <w:hyperlink r:id="rId4" w:history="1">
        <w:r w:rsidRPr="00750DAE">
          <w:rPr>
            <w:rStyle w:val="Hyperlink"/>
            <w:rFonts w:ascii="Times New Roman" w:hAnsi="Times New Roman" w:cs="Times New Roman"/>
          </w:rPr>
          <w:t>https://mcusercontent.com/d62b8c1570b4b45285fbb8f4b/files/ee99e692-30e0-0975-5a0d-ae59dc835cd8/58_1_7_35_31_.pdf</w:t>
        </w:r>
      </w:hyperlink>
      <w:r w:rsidRPr="00750DAE">
        <w:rPr>
          <w:rFonts w:ascii="Times New Roman" w:hAnsi="Times New Roman" w:cs="Times New Roman"/>
        </w:rPr>
        <w:t xml:space="preserve">. </w:t>
      </w:r>
    </w:p>
  </w:footnote>
  <w:footnote w:id="7">
    <w:p w14:paraId="159C1D78" w14:textId="1D7C3288" w:rsidR="007F4B5D" w:rsidRPr="00750DAE" w:rsidRDefault="007F4B5D">
      <w:pPr>
        <w:pStyle w:val="FootnoteText"/>
        <w:rPr>
          <w:rFonts w:ascii="Times New Roman" w:hAnsi="Times New Roman" w:cs="Times New Roman"/>
        </w:rPr>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001A1CA6" w:rsidRPr="00750DAE">
        <w:rPr>
          <w:rFonts w:ascii="Times New Roman" w:hAnsi="Times New Roman" w:cs="Times New Roman"/>
          <w:i/>
          <w:iCs/>
        </w:rPr>
        <w:t>See</w:t>
      </w:r>
      <w:r w:rsidR="001A1CA6">
        <w:rPr>
          <w:rFonts w:ascii="Times New Roman" w:hAnsi="Times New Roman" w:cs="Times New Roman"/>
        </w:rPr>
        <w:t xml:space="preserve"> </w:t>
      </w:r>
      <w:r w:rsidR="002A4F88">
        <w:rPr>
          <w:rFonts w:ascii="Times New Roman" w:hAnsi="Times New Roman" w:cs="Times New Roman"/>
        </w:rPr>
        <w:t xml:space="preserve">“A Financial System That Creates Economic Opportunities: Nonbank Financials, Fintech, and Innovation, </w:t>
      </w:r>
      <w:r w:rsidR="007B4295">
        <w:rPr>
          <w:rFonts w:ascii="Times New Roman" w:hAnsi="Times New Roman" w:cs="Times New Roman"/>
        </w:rPr>
        <w:t xml:space="preserve">July 2018, </w:t>
      </w:r>
      <w:hyperlink r:id="rId5" w:history="1">
        <w:r w:rsidR="007B4295" w:rsidRPr="00D35626">
          <w:rPr>
            <w:rStyle w:val="Hyperlink"/>
            <w:rFonts w:ascii="Times New Roman" w:hAnsi="Times New Roman" w:cs="Times New Roman"/>
          </w:rPr>
          <w:t>https://home.treasury.gov/sites/default/files/2018-07/A-Financial-System-that-Creates-Economic-Opportunities---Nonbank-Financi....pdf</w:t>
        </w:r>
      </w:hyperlink>
      <w:r w:rsidR="007B4295">
        <w:rPr>
          <w:rFonts w:ascii="Times New Roman" w:hAnsi="Times New Roman" w:cs="Times New Roman"/>
        </w:rPr>
        <w:t xml:space="preserve">. </w:t>
      </w:r>
    </w:p>
  </w:footnote>
  <w:footnote w:id="8">
    <w:p w14:paraId="65731774" w14:textId="5FA8E27F" w:rsidR="00891F00" w:rsidRPr="00750DAE" w:rsidRDefault="00891F00">
      <w:pPr>
        <w:pStyle w:val="FootnoteText"/>
        <w:rPr>
          <w:rFonts w:ascii="Times New Roman" w:hAnsi="Times New Roman" w:cs="Times New Roman"/>
        </w:rPr>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Pr="00750DAE">
        <w:rPr>
          <w:rFonts w:ascii="Times New Roman" w:hAnsi="Times New Roman" w:cs="Times New Roman"/>
          <w:i/>
          <w:iCs/>
        </w:rPr>
        <w:t>See</w:t>
      </w:r>
      <w:r w:rsidRPr="00750DAE">
        <w:rPr>
          <w:rFonts w:ascii="Times New Roman" w:hAnsi="Times New Roman" w:cs="Times New Roman"/>
        </w:rPr>
        <w:t xml:space="preserve"> </w:t>
      </w:r>
      <w:r w:rsidR="001A1CA6" w:rsidRPr="00750DAE">
        <w:rPr>
          <w:rFonts w:ascii="Times New Roman" w:hAnsi="Times New Roman" w:cs="Times New Roman"/>
        </w:rPr>
        <w:t xml:space="preserve">McHenry Statement in CFPB’s Final 1033 Rule, October 22, 2024, </w:t>
      </w:r>
      <w:hyperlink r:id="rId6" w:history="1">
        <w:r w:rsidR="001A1CA6" w:rsidRPr="00750DAE">
          <w:rPr>
            <w:rStyle w:val="Hyperlink"/>
            <w:rFonts w:ascii="Times New Roman" w:hAnsi="Times New Roman" w:cs="Times New Roman"/>
          </w:rPr>
          <w:t>https://financialservices.house.gov/news/documentsingle.aspx?DocumentID=409400</w:t>
        </w:r>
      </w:hyperlink>
      <w:r w:rsidR="001A1CA6" w:rsidRPr="00750DAE">
        <w:rPr>
          <w:rFonts w:ascii="Times New Roman" w:hAnsi="Times New Roman" w:cs="Times New Roman"/>
        </w:rPr>
        <w:t xml:space="preserve">. </w:t>
      </w:r>
    </w:p>
  </w:footnote>
  <w:footnote w:id="9">
    <w:p w14:paraId="19DB984C" w14:textId="65523964" w:rsidR="007F4B5D" w:rsidRDefault="007F4B5D">
      <w:pPr>
        <w:pStyle w:val="FootnoteText"/>
      </w:pPr>
      <w:r w:rsidRPr="00750DAE">
        <w:rPr>
          <w:rStyle w:val="FootnoteReference"/>
          <w:rFonts w:ascii="Times New Roman" w:hAnsi="Times New Roman" w:cs="Times New Roman"/>
        </w:rPr>
        <w:footnoteRef/>
      </w:r>
      <w:r w:rsidRPr="00750DAE">
        <w:rPr>
          <w:rFonts w:ascii="Times New Roman" w:hAnsi="Times New Roman" w:cs="Times New Roman"/>
        </w:rPr>
        <w:t xml:space="preserve"> </w:t>
      </w:r>
      <w:r w:rsidR="003547E4" w:rsidRPr="00750DAE">
        <w:rPr>
          <w:rFonts w:ascii="Times New Roman" w:hAnsi="Times New Roman" w:cs="Times New Roman"/>
          <w:i/>
          <w:iCs/>
        </w:rPr>
        <w:t>See</w:t>
      </w:r>
      <w:r w:rsidR="003547E4">
        <w:rPr>
          <w:rFonts w:ascii="Times New Roman" w:hAnsi="Times New Roman" w:cs="Times New Roman"/>
        </w:rPr>
        <w:t xml:space="preserve"> FDATA North America Rejects CFPB’s New Interpretation of Section 1033, Citing Trump Treasury’s Support for T</w:t>
      </w:r>
      <w:r w:rsidR="00A313A7">
        <w:rPr>
          <w:rFonts w:ascii="Times New Roman" w:hAnsi="Times New Roman" w:cs="Times New Roman"/>
        </w:rPr>
        <w:t xml:space="preserve">hird-Party Data Access, May 30, 2025, </w:t>
      </w:r>
      <w:hyperlink r:id="rId7" w:history="1">
        <w:r w:rsidR="00A313A7" w:rsidRPr="00D35626">
          <w:rPr>
            <w:rStyle w:val="Hyperlink"/>
            <w:rFonts w:ascii="Times New Roman" w:hAnsi="Times New Roman" w:cs="Times New Roman"/>
          </w:rPr>
          <w:t>https://fdata.global/blog/2025/05/30/fdata-north-america-rejects-cfpbs-new-interpretation-of-section-1033-citing-trump-treasurys-support-for-third-party-data-access/</w:t>
        </w:r>
      </w:hyperlink>
      <w:r w:rsidR="00A313A7">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B2A3" w14:textId="0397244E" w:rsidR="005A3632" w:rsidRPr="005A3632" w:rsidRDefault="005A3632" w:rsidP="005A3632">
    <w:pPr>
      <w:pStyle w:val="Header"/>
      <w:jc w:val="center"/>
      <w:rPr>
        <w:rFonts w:ascii="Times New Roman" w:hAnsi="Times New Roman" w:cs="Times New Roman"/>
      </w:rPr>
    </w:pPr>
    <w:r w:rsidRPr="005A3632">
      <w:rPr>
        <w:rFonts w:ascii="Times New Roman" w:hAnsi="Times New Roman" w:cs="Times New Roman"/>
        <w:noProof/>
      </w:rPr>
      <w:drawing>
        <wp:inline distT="0" distB="0" distL="0" distR="0" wp14:anchorId="4ACEEEE5" wp14:editId="6CA2020A">
          <wp:extent cx="895350" cy="8953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895350" cy="895350"/>
                  </a:xfrm>
                  <a:prstGeom prst="rect">
                    <a:avLst/>
                  </a:prstGeom>
                  <a:noFill/>
                  <a:ln>
                    <a:noFill/>
                  </a:ln>
                </pic:spPr>
              </pic:pic>
            </a:graphicData>
          </a:graphic>
        </wp:inline>
      </w:drawing>
    </w:r>
  </w:p>
  <w:p w14:paraId="7A692DED" w14:textId="3013E11F" w:rsidR="002066E0" w:rsidRDefault="005A3632" w:rsidP="005A3632">
    <w:pPr>
      <w:pStyle w:val="Header"/>
      <w:jc w:val="center"/>
      <w:rPr>
        <w:rStyle w:val="Hyperlink"/>
        <w:rFonts w:ascii="Times New Roman" w:hAnsi="Times New Roman" w:cs="Times New Roman"/>
      </w:rPr>
    </w:pPr>
    <w:hyperlink r:id="rId2" w:history="1">
      <w:r w:rsidRPr="005A3632">
        <w:rPr>
          <w:rStyle w:val="Hyperlink"/>
          <w:rFonts w:ascii="Times New Roman" w:hAnsi="Times New Roman" w:cs="Times New Roman"/>
        </w:rPr>
        <w:t>www.fdata.global/north-america</w:t>
      </w:r>
    </w:hyperlink>
  </w:p>
  <w:p w14:paraId="54C87043" w14:textId="251B67C9" w:rsidR="005A3632" w:rsidRDefault="005A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1AF9"/>
    <w:multiLevelType w:val="multilevel"/>
    <w:tmpl w:val="E40A0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081941"/>
    <w:multiLevelType w:val="hybridMultilevel"/>
    <w:tmpl w:val="551C75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0C7FB5"/>
    <w:multiLevelType w:val="multilevel"/>
    <w:tmpl w:val="30C67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B95766"/>
    <w:multiLevelType w:val="hybridMultilevel"/>
    <w:tmpl w:val="8AF095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B848D1"/>
    <w:multiLevelType w:val="multilevel"/>
    <w:tmpl w:val="88AA7A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2F0271"/>
    <w:multiLevelType w:val="hybridMultilevel"/>
    <w:tmpl w:val="8FB2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E2587A"/>
    <w:multiLevelType w:val="hybridMultilevel"/>
    <w:tmpl w:val="2668D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05F2D9F"/>
    <w:multiLevelType w:val="multilevel"/>
    <w:tmpl w:val="C7AEED02"/>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496848D0"/>
    <w:multiLevelType w:val="hybridMultilevel"/>
    <w:tmpl w:val="EC4E219A"/>
    <w:lvl w:ilvl="0" w:tplc="790C414E">
      <w:start w:val="1"/>
      <w:numFmt w:val="bullet"/>
      <w:lvlText w:val=""/>
      <w:lvlJc w:val="left"/>
      <w:pPr>
        <w:ind w:left="720" w:hanging="360"/>
      </w:pPr>
      <w:rPr>
        <w:rFonts w:ascii="Symbol" w:hAnsi="Symbol" w:hint="default"/>
      </w:rPr>
    </w:lvl>
    <w:lvl w:ilvl="1" w:tplc="B00E9598">
      <w:start w:val="1"/>
      <w:numFmt w:val="bullet"/>
      <w:lvlText w:val=""/>
      <w:lvlJc w:val="left"/>
      <w:pPr>
        <w:ind w:left="1440" w:hanging="360"/>
      </w:pPr>
      <w:rPr>
        <w:rFonts w:ascii="Symbol" w:hAnsi="Symbol" w:hint="default"/>
      </w:rPr>
    </w:lvl>
    <w:lvl w:ilvl="2" w:tplc="7EF63DA2">
      <w:start w:val="1"/>
      <w:numFmt w:val="bullet"/>
      <w:lvlText w:val=""/>
      <w:lvlJc w:val="left"/>
      <w:pPr>
        <w:ind w:left="2160" w:hanging="360"/>
      </w:pPr>
      <w:rPr>
        <w:rFonts w:ascii="Wingdings" w:hAnsi="Wingdings" w:hint="default"/>
      </w:rPr>
    </w:lvl>
    <w:lvl w:ilvl="3" w:tplc="BCC68D0A">
      <w:start w:val="1"/>
      <w:numFmt w:val="bullet"/>
      <w:lvlText w:val=""/>
      <w:lvlJc w:val="left"/>
      <w:pPr>
        <w:ind w:left="2880" w:hanging="360"/>
      </w:pPr>
      <w:rPr>
        <w:rFonts w:ascii="Symbol" w:hAnsi="Symbol" w:hint="default"/>
      </w:rPr>
    </w:lvl>
    <w:lvl w:ilvl="4" w:tplc="429A7F48">
      <w:start w:val="1"/>
      <w:numFmt w:val="bullet"/>
      <w:lvlText w:val="o"/>
      <w:lvlJc w:val="left"/>
      <w:pPr>
        <w:ind w:left="3600" w:hanging="360"/>
      </w:pPr>
      <w:rPr>
        <w:rFonts w:ascii="Courier New" w:hAnsi="Courier New" w:hint="default"/>
      </w:rPr>
    </w:lvl>
    <w:lvl w:ilvl="5" w:tplc="5A8ABC6A">
      <w:start w:val="1"/>
      <w:numFmt w:val="bullet"/>
      <w:lvlText w:val=""/>
      <w:lvlJc w:val="left"/>
      <w:pPr>
        <w:ind w:left="4320" w:hanging="360"/>
      </w:pPr>
      <w:rPr>
        <w:rFonts w:ascii="Wingdings" w:hAnsi="Wingdings" w:hint="default"/>
      </w:rPr>
    </w:lvl>
    <w:lvl w:ilvl="6" w:tplc="CD04CAF8">
      <w:start w:val="1"/>
      <w:numFmt w:val="bullet"/>
      <w:lvlText w:val=""/>
      <w:lvlJc w:val="left"/>
      <w:pPr>
        <w:ind w:left="5040" w:hanging="360"/>
      </w:pPr>
      <w:rPr>
        <w:rFonts w:ascii="Symbol" w:hAnsi="Symbol" w:hint="default"/>
      </w:rPr>
    </w:lvl>
    <w:lvl w:ilvl="7" w:tplc="0D32BACE">
      <w:start w:val="1"/>
      <w:numFmt w:val="bullet"/>
      <w:lvlText w:val="o"/>
      <w:lvlJc w:val="left"/>
      <w:pPr>
        <w:ind w:left="5760" w:hanging="360"/>
      </w:pPr>
      <w:rPr>
        <w:rFonts w:ascii="Courier New" w:hAnsi="Courier New" w:hint="default"/>
      </w:rPr>
    </w:lvl>
    <w:lvl w:ilvl="8" w:tplc="1EE21026">
      <w:start w:val="1"/>
      <w:numFmt w:val="bullet"/>
      <w:lvlText w:val=""/>
      <w:lvlJc w:val="left"/>
      <w:pPr>
        <w:ind w:left="6480" w:hanging="360"/>
      </w:pPr>
      <w:rPr>
        <w:rFonts w:ascii="Wingdings" w:hAnsi="Wingdings" w:hint="default"/>
      </w:rPr>
    </w:lvl>
  </w:abstractNum>
  <w:abstractNum w:abstractNumId="9" w15:restartNumberingAfterBreak="0">
    <w:nsid w:val="4FE1207A"/>
    <w:multiLevelType w:val="hybridMultilevel"/>
    <w:tmpl w:val="19809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D132BA"/>
    <w:multiLevelType w:val="multilevel"/>
    <w:tmpl w:val="7B8A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572A1C"/>
    <w:multiLevelType w:val="multilevel"/>
    <w:tmpl w:val="840C52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DDC0E0D"/>
    <w:multiLevelType w:val="multilevel"/>
    <w:tmpl w:val="93A6DE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1F46A58"/>
    <w:multiLevelType w:val="hybridMultilevel"/>
    <w:tmpl w:val="F69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D3099F"/>
    <w:multiLevelType w:val="multilevel"/>
    <w:tmpl w:val="8720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8371101">
    <w:abstractNumId w:val="8"/>
  </w:num>
  <w:num w:numId="2" w16cid:durableId="2011440987">
    <w:abstractNumId w:val="11"/>
  </w:num>
  <w:num w:numId="3" w16cid:durableId="1999654897">
    <w:abstractNumId w:val="12"/>
  </w:num>
  <w:num w:numId="4" w16cid:durableId="1103573197">
    <w:abstractNumId w:val="4"/>
  </w:num>
  <w:num w:numId="5" w16cid:durableId="592249936">
    <w:abstractNumId w:val="7"/>
  </w:num>
  <w:num w:numId="6" w16cid:durableId="909803509">
    <w:abstractNumId w:val="2"/>
  </w:num>
  <w:num w:numId="7" w16cid:durableId="913396598">
    <w:abstractNumId w:val="9"/>
  </w:num>
  <w:num w:numId="8" w16cid:durableId="1648899987">
    <w:abstractNumId w:val="6"/>
  </w:num>
  <w:num w:numId="9" w16cid:durableId="283194857">
    <w:abstractNumId w:val="13"/>
  </w:num>
  <w:num w:numId="10" w16cid:durableId="228852940">
    <w:abstractNumId w:val="5"/>
  </w:num>
  <w:num w:numId="11" w16cid:durableId="378474113">
    <w:abstractNumId w:val="1"/>
  </w:num>
  <w:num w:numId="12" w16cid:durableId="810250118">
    <w:abstractNumId w:val="3"/>
  </w:num>
  <w:num w:numId="13" w16cid:durableId="755980974">
    <w:abstractNumId w:val="0"/>
  </w:num>
  <w:num w:numId="14" w16cid:durableId="337585784">
    <w:abstractNumId w:val="14"/>
  </w:num>
  <w:num w:numId="15" w16cid:durableId="5735118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470"/>
    <w:rsid w:val="00000074"/>
    <w:rsid w:val="00007309"/>
    <w:rsid w:val="00012925"/>
    <w:rsid w:val="000162D4"/>
    <w:rsid w:val="00024B5A"/>
    <w:rsid w:val="000401CC"/>
    <w:rsid w:val="0004086C"/>
    <w:rsid w:val="00043B3F"/>
    <w:rsid w:val="0004547F"/>
    <w:rsid w:val="00074A87"/>
    <w:rsid w:val="00080A71"/>
    <w:rsid w:val="00081556"/>
    <w:rsid w:val="0008489B"/>
    <w:rsid w:val="00094770"/>
    <w:rsid w:val="00095908"/>
    <w:rsid w:val="000A7AAF"/>
    <w:rsid w:val="000D13FC"/>
    <w:rsid w:val="000E1F9D"/>
    <w:rsid w:val="000E316D"/>
    <w:rsid w:val="001064D9"/>
    <w:rsid w:val="0012321B"/>
    <w:rsid w:val="00124E76"/>
    <w:rsid w:val="001379AF"/>
    <w:rsid w:val="0014675F"/>
    <w:rsid w:val="00154E17"/>
    <w:rsid w:val="00157291"/>
    <w:rsid w:val="00163462"/>
    <w:rsid w:val="00171BCD"/>
    <w:rsid w:val="0017359F"/>
    <w:rsid w:val="001769E1"/>
    <w:rsid w:val="0019491C"/>
    <w:rsid w:val="001A0DA9"/>
    <w:rsid w:val="001A1CA6"/>
    <w:rsid w:val="001A3B51"/>
    <w:rsid w:val="001A48F2"/>
    <w:rsid w:val="001A495D"/>
    <w:rsid w:val="001B4E1C"/>
    <w:rsid w:val="001C6C80"/>
    <w:rsid w:val="001C7E50"/>
    <w:rsid w:val="001D18A7"/>
    <w:rsid w:val="001D1CD0"/>
    <w:rsid w:val="001D37F6"/>
    <w:rsid w:val="001D38CA"/>
    <w:rsid w:val="001D3F2E"/>
    <w:rsid w:val="001D427E"/>
    <w:rsid w:val="001F3B2A"/>
    <w:rsid w:val="001F3D83"/>
    <w:rsid w:val="001F3D8B"/>
    <w:rsid w:val="001F4F25"/>
    <w:rsid w:val="002003AA"/>
    <w:rsid w:val="002066E0"/>
    <w:rsid w:val="00216C6F"/>
    <w:rsid w:val="00221845"/>
    <w:rsid w:val="00225F60"/>
    <w:rsid w:val="00230303"/>
    <w:rsid w:val="00231887"/>
    <w:rsid w:val="00243755"/>
    <w:rsid w:val="002519E4"/>
    <w:rsid w:val="0025710C"/>
    <w:rsid w:val="00266E6C"/>
    <w:rsid w:val="00270128"/>
    <w:rsid w:val="002A4F88"/>
    <w:rsid w:val="002A68F7"/>
    <w:rsid w:val="002C21A7"/>
    <w:rsid w:val="002C518D"/>
    <w:rsid w:val="002C5CF3"/>
    <w:rsid w:val="002E2C3C"/>
    <w:rsid w:val="002F2902"/>
    <w:rsid w:val="002F2C37"/>
    <w:rsid w:val="00303706"/>
    <w:rsid w:val="00313643"/>
    <w:rsid w:val="00313B60"/>
    <w:rsid w:val="00317871"/>
    <w:rsid w:val="003240EB"/>
    <w:rsid w:val="0032512F"/>
    <w:rsid w:val="0032654C"/>
    <w:rsid w:val="003317A2"/>
    <w:rsid w:val="0034388B"/>
    <w:rsid w:val="00344DF2"/>
    <w:rsid w:val="0034762E"/>
    <w:rsid w:val="00347654"/>
    <w:rsid w:val="00350E88"/>
    <w:rsid w:val="00353CB6"/>
    <w:rsid w:val="003547E4"/>
    <w:rsid w:val="003653F5"/>
    <w:rsid w:val="00367948"/>
    <w:rsid w:val="00375636"/>
    <w:rsid w:val="003771A9"/>
    <w:rsid w:val="003777EE"/>
    <w:rsid w:val="00383BDB"/>
    <w:rsid w:val="00390BC5"/>
    <w:rsid w:val="00395769"/>
    <w:rsid w:val="003975D1"/>
    <w:rsid w:val="003A0B48"/>
    <w:rsid w:val="003A190A"/>
    <w:rsid w:val="003A5FBB"/>
    <w:rsid w:val="003B0088"/>
    <w:rsid w:val="003B10EA"/>
    <w:rsid w:val="003B6C86"/>
    <w:rsid w:val="003D5BE3"/>
    <w:rsid w:val="003E1E22"/>
    <w:rsid w:val="003E2DB9"/>
    <w:rsid w:val="003E4899"/>
    <w:rsid w:val="0040211E"/>
    <w:rsid w:val="0040316C"/>
    <w:rsid w:val="004052CC"/>
    <w:rsid w:val="00405699"/>
    <w:rsid w:val="00417978"/>
    <w:rsid w:val="00424CF3"/>
    <w:rsid w:val="0042668B"/>
    <w:rsid w:val="00431F5F"/>
    <w:rsid w:val="00433E65"/>
    <w:rsid w:val="00441127"/>
    <w:rsid w:val="00475D68"/>
    <w:rsid w:val="0048059A"/>
    <w:rsid w:val="00481445"/>
    <w:rsid w:val="00481F64"/>
    <w:rsid w:val="004A573F"/>
    <w:rsid w:val="004B053E"/>
    <w:rsid w:val="004C6DF2"/>
    <w:rsid w:val="004D3C44"/>
    <w:rsid w:val="004D5A65"/>
    <w:rsid w:val="004D6530"/>
    <w:rsid w:val="004E0A2F"/>
    <w:rsid w:val="004E2B25"/>
    <w:rsid w:val="004E48B7"/>
    <w:rsid w:val="004F0316"/>
    <w:rsid w:val="004F1297"/>
    <w:rsid w:val="004F3FDE"/>
    <w:rsid w:val="005025A1"/>
    <w:rsid w:val="00502DE9"/>
    <w:rsid w:val="00527303"/>
    <w:rsid w:val="00534FB5"/>
    <w:rsid w:val="00540B7F"/>
    <w:rsid w:val="005552CB"/>
    <w:rsid w:val="005576C9"/>
    <w:rsid w:val="00577A95"/>
    <w:rsid w:val="0058060F"/>
    <w:rsid w:val="00581F4E"/>
    <w:rsid w:val="00587249"/>
    <w:rsid w:val="0059157D"/>
    <w:rsid w:val="00591AA2"/>
    <w:rsid w:val="005A3632"/>
    <w:rsid w:val="005A5C63"/>
    <w:rsid w:val="005C365C"/>
    <w:rsid w:val="005D03B0"/>
    <w:rsid w:val="005D78AC"/>
    <w:rsid w:val="005F1F72"/>
    <w:rsid w:val="005F6BF6"/>
    <w:rsid w:val="0061193E"/>
    <w:rsid w:val="00623618"/>
    <w:rsid w:val="006253EC"/>
    <w:rsid w:val="006307D7"/>
    <w:rsid w:val="00634F51"/>
    <w:rsid w:val="00637C86"/>
    <w:rsid w:val="00640EF6"/>
    <w:rsid w:val="006429DC"/>
    <w:rsid w:val="00653344"/>
    <w:rsid w:val="006561EE"/>
    <w:rsid w:val="006635E7"/>
    <w:rsid w:val="00666AC8"/>
    <w:rsid w:val="006707FA"/>
    <w:rsid w:val="00672D98"/>
    <w:rsid w:val="00690DD8"/>
    <w:rsid w:val="006A6343"/>
    <w:rsid w:val="006B2C77"/>
    <w:rsid w:val="006C3690"/>
    <w:rsid w:val="006C78D1"/>
    <w:rsid w:val="006D4EA5"/>
    <w:rsid w:val="006E4C27"/>
    <w:rsid w:val="006E6BA0"/>
    <w:rsid w:val="006E76A0"/>
    <w:rsid w:val="00703BBA"/>
    <w:rsid w:val="00705CE7"/>
    <w:rsid w:val="007110D2"/>
    <w:rsid w:val="00726B0C"/>
    <w:rsid w:val="00734C9D"/>
    <w:rsid w:val="00750DAE"/>
    <w:rsid w:val="0075566A"/>
    <w:rsid w:val="00793153"/>
    <w:rsid w:val="007A3941"/>
    <w:rsid w:val="007B10DD"/>
    <w:rsid w:val="007B4295"/>
    <w:rsid w:val="007B6927"/>
    <w:rsid w:val="007C2C0B"/>
    <w:rsid w:val="007D7E4B"/>
    <w:rsid w:val="007E0587"/>
    <w:rsid w:val="007E3FCA"/>
    <w:rsid w:val="007E763F"/>
    <w:rsid w:val="007F1980"/>
    <w:rsid w:val="007F4B5D"/>
    <w:rsid w:val="007F4CB0"/>
    <w:rsid w:val="00801085"/>
    <w:rsid w:val="008079D1"/>
    <w:rsid w:val="0081261C"/>
    <w:rsid w:val="00820035"/>
    <w:rsid w:val="00830AE7"/>
    <w:rsid w:val="00830C3F"/>
    <w:rsid w:val="00835B74"/>
    <w:rsid w:val="00840848"/>
    <w:rsid w:val="008409BF"/>
    <w:rsid w:val="00860C8E"/>
    <w:rsid w:val="00866454"/>
    <w:rsid w:val="008811D3"/>
    <w:rsid w:val="00884F9E"/>
    <w:rsid w:val="00887FE9"/>
    <w:rsid w:val="00890845"/>
    <w:rsid w:val="00891021"/>
    <w:rsid w:val="008917BA"/>
    <w:rsid w:val="00891F00"/>
    <w:rsid w:val="008941AF"/>
    <w:rsid w:val="008943E8"/>
    <w:rsid w:val="00894926"/>
    <w:rsid w:val="008A066A"/>
    <w:rsid w:val="008A272C"/>
    <w:rsid w:val="008A4261"/>
    <w:rsid w:val="008A6D4D"/>
    <w:rsid w:val="008B1D6B"/>
    <w:rsid w:val="008B38ED"/>
    <w:rsid w:val="008C1F10"/>
    <w:rsid w:val="008C2C46"/>
    <w:rsid w:val="008D53D5"/>
    <w:rsid w:val="008D6B21"/>
    <w:rsid w:val="008E4AFA"/>
    <w:rsid w:val="008E64B5"/>
    <w:rsid w:val="008E733B"/>
    <w:rsid w:val="008F56D6"/>
    <w:rsid w:val="00914363"/>
    <w:rsid w:val="009177F6"/>
    <w:rsid w:val="0092180B"/>
    <w:rsid w:val="009220F1"/>
    <w:rsid w:val="00931E49"/>
    <w:rsid w:val="00940825"/>
    <w:rsid w:val="00944606"/>
    <w:rsid w:val="00951186"/>
    <w:rsid w:val="00953B44"/>
    <w:rsid w:val="00957DC7"/>
    <w:rsid w:val="00971A3B"/>
    <w:rsid w:val="00971D69"/>
    <w:rsid w:val="00974212"/>
    <w:rsid w:val="00974894"/>
    <w:rsid w:val="009807D4"/>
    <w:rsid w:val="00986DB7"/>
    <w:rsid w:val="0099335A"/>
    <w:rsid w:val="00994BBB"/>
    <w:rsid w:val="009A0892"/>
    <w:rsid w:val="009A4E6A"/>
    <w:rsid w:val="009A724F"/>
    <w:rsid w:val="009B7E91"/>
    <w:rsid w:val="009C4340"/>
    <w:rsid w:val="009C6B07"/>
    <w:rsid w:val="009C6C01"/>
    <w:rsid w:val="009D5562"/>
    <w:rsid w:val="009F1354"/>
    <w:rsid w:val="00A03AB8"/>
    <w:rsid w:val="00A14238"/>
    <w:rsid w:val="00A22227"/>
    <w:rsid w:val="00A22A79"/>
    <w:rsid w:val="00A2653F"/>
    <w:rsid w:val="00A313A7"/>
    <w:rsid w:val="00A319E8"/>
    <w:rsid w:val="00A435CE"/>
    <w:rsid w:val="00A53229"/>
    <w:rsid w:val="00A53329"/>
    <w:rsid w:val="00A54D9F"/>
    <w:rsid w:val="00A60820"/>
    <w:rsid w:val="00A636A9"/>
    <w:rsid w:val="00A63CAF"/>
    <w:rsid w:val="00A76867"/>
    <w:rsid w:val="00A81702"/>
    <w:rsid w:val="00A90C82"/>
    <w:rsid w:val="00AB1FF5"/>
    <w:rsid w:val="00AC32D9"/>
    <w:rsid w:val="00AC40AF"/>
    <w:rsid w:val="00AE341D"/>
    <w:rsid w:val="00AE72A9"/>
    <w:rsid w:val="00B01C89"/>
    <w:rsid w:val="00B05F07"/>
    <w:rsid w:val="00B07735"/>
    <w:rsid w:val="00B108BD"/>
    <w:rsid w:val="00B11129"/>
    <w:rsid w:val="00B12A63"/>
    <w:rsid w:val="00B169D2"/>
    <w:rsid w:val="00B17374"/>
    <w:rsid w:val="00B264CB"/>
    <w:rsid w:val="00B30084"/>
    <w:rsid w:val="00B433D1"/>
    <w:rsid w:val="00B63104"/>
    <w:rsid w:val="00B82DBB"/>
    <w:rsid w:val="00B92A25"/>
    <w:rsid w:val="00B9772D"/>
    <w:rsid w:val="00BA6B4D"/>
    <w:rsid w:val="00BB17FE"/>
    <w:rsid w:val="00BC04CF"/>
    <w:rsid w:val="00BC7071"/>
    <w:rsid w:val="00BD368B"/>
    <w:rsid w:val="00BD7BE6"/>
    <w:rsid w:val="00BE2470"/>
    <w:rsid w:val="00BF36AF"/>
    <w:rsid w:val="00C0111C"/>
    <w:rsid w:val="00C13AF3"/>
    <w:rsid w:val="00C24F9F"/>
    <w:rsid w:val="00C363AF"/>
    <w:rsid w:val="00C443DC"/>
    <w:rsid w:val="00C55880"/>
    <w:rsid w:val="00C61091"/>
    <w:rsid w:val="00C7054F"/>
    <w:rsid w:val="00C83B37"/>
    <w:rsid w:val="00C83DA8"/>
    <w:rsid w:val="00C8400E"/>
    <w:rsid w:val="00C84D12"/>
    <w:rsid w:val="00C85412"/>
    <w:rsid w:val="00C87E3D"/>
    <w:rsid w:val="00CB09A5"/>
    <w:rsid w:val="00CD4CCF"/>
    <w:rsid w:val="00CF11EB"/>
    <w:rsid w:val="00CF1EF5"/>
    <w:rsid w:val="00CF3A71"/>
    <w:rsid w:val="00CF5387"/>
    <w:rsid w:val="00CF6E8E"/>
    <w:rsid w:val="00CF6FF4"/>
    <w:rsid w:val="00D047FC"/>
    <w:rsid w:val="00D31001"/>
    <w:rsid w:val="00D34BEC"/>
    <w:rsid w:val="00D37A1F"/>
    <w:rsid w:val="00D415BB"/>
    <w:rsid w:val="00D41F70"/>
    <w:rsid w:val="00D50A1B"/>
    <w:rsid w:val="00D522C7"/>
    <w:rsid w:val="00D5326D"/>
    <w:rsid w:val="00D60A21"/>
    <w:rsid w:val="00D638B0"/>
    <w:rsid w:val="00D76792"/>
    <w:rsid w:val="00D82A36"/>
    <w:rsid w:val="00D92F6A"/>
    <w:rsid w:val="00D950C5"/>
    <w:rsid w:val="00D96E79"/>
    <w:rsid w:val="00DA0F2A"/>
    <w:rsid w:val="00DB4403"/>
    <w:rsid w:val="00DB5C49"/>
    <w:rsid w:val="00DC3DEF"/>
    <w:rsid w:val="00DD38A4"/>
    <w:rsid w:val="00DE1BC8"/>
    <w:rsid w:val="00DE401F"/>
    <w:rsid w:val="00DE4139"/>
    <w:rsid w:val="00DE54DE"/>
    <w:rsid w:val="00DF14A9"/>
    <w:rsid w:val="00E07D03"/>
    <w:rsid w:val="00E114F2"/>
    <w:rsid w:val="00E26823"/>
    <w:rsid w:val="00E30CEE"/>
    <w:rsid w:val="00E5506E"/>
    <w:rsid w:val="00E625ED"/>
    <w:rsid w:val="00E6358C"/>
    <w:rsid w:val="00E654AC"/>
    <w:rsid w:val="00E937BC"/>
    <w:rsid w:val="00EA30ED"/>
    <w:rsid w:val="00EA4B54"/>
    <w:rsid w:val="00EB5979"/>
    <w:rsid w:val="00EB5F96"/>
    <w:rsid w:val="00EC272C"/>
    <w:rsid w:val="00EC3CA1"/>
    <w:rsid w:val="00EE07DB"/>
    <w:rsid w:val="00EE7867"/>
    <w:rsid w:val="00EF4A6A"/>
    <w:rsid w:val="00F04C63"/>
    <w:rsid w:val="00F0504B"/>
    <w:rsid w:val="00F21C62"/>
    <w:rsid w:val="00F21C8E"/>
    <w:rsid w:val="00F451B2"/>
    <w:rsid w:val="00F5500F"/>
    <w:rsid w:val="00F6277A"/>
    <w:rsid w:val="00F72903"/>
    <w:rsid w:val="00F7452C"/>
    <w:rsid w:val="00F81185"/>
    <w:rsid w:val="00F86198"/>
    <w:rsid w:val="00F96985"/>
    <w:rsid w:val="00FA3A7D"/>
    <w:rsid w:val="00FB11E1"/>
    <w:rsid w:val="00FC2909"/>
    <w:rsid w:val="00FC6663"/>
    <w:rsid w:val="00FE1711"/>
    <w:rsid w:val="00FE20C3"/>
    <w:rsid w:val="53DBB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0392A"/>
  <w15:docId w15:val="{8BFB1458-DC26-4304-B0F2-994310E1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6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9066A"/>
    <w:pPr>
      <w:ind w:left="720"/>
      <w:contextualSpacing/>
    </w:pPr>
  </w:style>
  <w:style w:type="paragraph" w:styleId="Header">
    <w:name w:val="header"/>
    <w:basedOn w:val="Normal"/>
    <w:link w:val="HeaderChar"/>
    <w:uiPriority w:val="99"/>
    <w:unhideWhenUsed/>
    <w:rsid w:val="00305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F99"/>
  </w:style>
  <w:style w:type="paragraph" w:styleId="Footer">
    <w:name w:val="footer"/>
    <w:basedOn w:val="Normal"/>
    <w:link w:val="FooterChar"/>
    <w:uiPriority w:val="99"/>
    <w:unhideWhenUsed/>
    <w:rsid w:val="00305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F99"/>
  </w:style>
  <w:style w:type="paragraph" w:styleId="Revision">
    <w:name w:val="Revision"/>
    <w:hidden/>
    <w:uiPriority w:val="99"/>
    <w:semiHidden/>
    <w:rsid w:val="00CC3DF8"/>
    <w:pPr>
      <w:spacing w:after="0" w:line="240" w:lineRule="auto"/>
    </w:pPr>
  </w:style>
  <w:style w:type="character" w:styleId="Hyperlink">
    <w:name w:val="Hyperlink"/>
    <w:basedOn w:val="DefaultParagraphFont"/>
    <w:uiPriority w:val="99"/>
    <w:unhideWhenUsed/>
    <w:rsid w:val="00CC3DF8"/>
    <w:rPr>
      <w:color w:val="0563C1" w:themeColor="hyperlink"/>
      <w:u w:val="single"/>
    </w:rPr>
  </w:style>
  <w:style w:type="character" w:styleId="UnresolvedMention">
    <w:name w:val="Unresolved Mention"/>
    <w:basedOn w:val="DefaultParagraphFont"/>
    <w:uiPriority w:val="99"/>
    <w:semiHidden/>
    <w:unhideWhenUsed/>
    <w:rsid w:val="00CC3DF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FootnoteText">
    <w:name w:val="footnote text"/>
    <w:basedOn w:val="Normal"/>
    <w:link w:val="FootnoteTextChar"/>
    <w:uiPriority w:val="99"/>
    <w:unhideWhenUsed/>
    <w:rsid w:val="00CE240B"/>
    <w:pPr>
      <w:spacing w:after="0" w:line="240" w:lineRule="auto"/>
    </w:pPr>
    <w:rPr>
      <w:sz w:val="20"/>
      <w:szCs w:val="20"/>
    </w:rPr>
  </w:style>
  <w:style w:type="character" w:customStyle="1" w:styleId="FootnoteTextChar">
    <w:name w:val="Footnote Text Char"/>
    <w:basedOn w:val="DefaultParagraphFont"/>
    <w:link w:val="FootnoteText"/>
    <w:uiPriority w:val="99"/>
    <w:rsid w:val="00CE240B"/>
    <w:rPr>
      <w:sz w:val="20"/>
      <w:szCs w:val="20"/>
    </w:rPr>
  </w:style>
  <w:style w:type="character" w:styleId="FootnoteReference">
    <w:name w:val="footnote reference"/>
    <w:basedOn w:val="DefaultParagraphFont"/>
    <w:uiPriority w:val="99"/>
    <w:unhideWhenUsed/>
    <w:rsid w:val="00CE240B"/>
    <w:rPr>
      <w:vertAlign w:val="superscript"/>
    </w:rPr>
  </w:style>
  <w:style w:type="paragraph" w:styleId="CommentSubject">
    <w:name w:val="annotation subject"/>
    <w:basedOn w:val="CommentText"/>
    <w:next w:val="CommentText"/>
    <w:link w:val="CommentSubjectChar"/>
    <w:uiPriority w:val="99"/>
    <w:semiHidden/>
    <w:unhideWhenUsed/>
    <w:rsid w:val="001C0C4C"/>
    <w:rPr>
      <w:b/>
      <w:bCs/>
    </w:rPr>
  </w:style>
  <w:style w:type="character" w:customStyle="1" w:styleId="CommentSubjectChar">
    <w:name w:val="Comment Subject Char"/>
    <w:basedOn w:val="CommentTextChar"/>
    <w:link w:val="CommentSubject"/>
    <w:uiPriority w:val="99"/>
    <w:semiHidden/>
    <w:rsid w:val="001C0C4C"/>
    <w:rPr>
      <w:b/>
      <w:bCs/>
      <w:sz w:val="20"/>
      <w:szCs w:val="20"/>
    </w:rPr>
  </w:style>
  <w:style w:type="character" w:styleId="FollowedHyperlink">
    <w:name w:val="FollowedHyperlink"/>
    <w:basedOn w:val="DefaultParagraphFont"/>
    <w:uiPriority w:val="99"/>
    <w:semiHidden/>
    <w:unhideWhenUsed/>
    <w:rsid w:val="00230303"/>
    <w:rPr>
      <w:color w:val="954F72" w:themeColor="followedHyperlink"/>
      <w:u w:val="single"/>
    </w:rPr>
  </w:style>
  <w:style w:type="paragraph" w:styleId="NoSpacing">
    <w:name w:val="No Spacing"/>
    <w:uiPriority w:val="1"/>
    <w:qFormat/>
    <w:rsid w:val="00C85412"/>
    <w:pPr>
      <w:widowControl w:val="0"/>
      <w:autoSpaceDE w:val="0"/>
      <w:autoSpaceDN w:val="0"/>
      <w:adjustRightInd w:val="0"/>
      <w:spacing w:after="0" w:line="240" w:lineRule="auto"/>
    </w:pPr>
    <w:rPr>
      <w:rFonts w:eastAsiaTheme="minorEastAsia"/>
      <w:sz w:val="24"/>
      <w:szCs w:val="24"/>
    </w:rPr>
  </w:style>
  <w:style w:type="paragraph" w:styleId="NormalWeb">
    <w:name w:val="Normal (Web)"/>
    <w:basedOn w:val="Normal"/>
    <w:uiPriority w:val="99"/>
    <w:unhideWhenUsed/>
    <w:rsid w:val="008E4A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A0B48"/>
  </w:style>
  <w:style w:type="character" w:customStyle="1" w:styleId="apple-converted-space">
    <w:name w:val="apple-converted-space"/>
    <w:basedOn w:val="DefaultParagraphFont"/>
    <w:rsid w:val="00243755"/>
  </w:style>
  <w:style w:type="paragraph" w:customStyle="1" w:styleId="p1">
    <w:name w:val="p1"/>
    <w:basedOn w:val="Normal"/>
    <w:rsid w:val="00B82DBB"/>
    <w:pPr>
      <w:spacing w:after="0" w:line="240" w:lineRule="auto"/>
    </w:pPr>
    <w:rPr>
      <w:rFonts w:ascii="Helvetica" w:eastAsia="Times New Roman" w:hAnsi="Helvetica" w:cs="Times New Roman"/>
      <w:color w:val="000000"/>
      <w:sz w:val="14"/>
      <w:szCs w:val="14"/>
    </w:rPr>
  </w:style>
  <w:style w:type="character" w:styleId="Strong">
    <w:name w:val="Strong"/>
    <w:basedOn w:val="DefaultParagraphFont"/>
    <w:uiPriority w:val="22"/>
    <w:qFormat/>
    <w:rsid w:val="00313B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7675">
      <w:bodyDiv w:val="1"/>
      <w:marLeft w:val="0"/>
      <w:marRight w:val="0"/>
      <w:marTop w:val="0"/>
      <w:marBottom w:val="0"/>
      <w:divBdr>
        <w:top w:val="none" w:sz="0" w:space="0" w:color="auto"/>
        <w:left w:val="none" w:sz="0" w:space="0" w:color="auto"/>
        <w:bottom w:val="none" w:sz="0" w:space="0" w:color="auto"/>
        <w:right w:val="none" w:sz="0" w:space="0" w:color="auto"/>
      </w:divBdr>
    </w:div>
    <w:div w:id="192109923">
      <w:bodyDiv w:val="1"/>
      <w:marLeft w:val="0"/>
      <w:marRight w:val="0"/>
      <w:marTop w:val="0"/>
      <w:marBottom w:val="0"/>
      <w:divBdr>
        <w:top w:val="none" w:sz="0" w:space="0" w:color="auto"/>
        <w:left w:val="none" w:sz="0" w:space="0" w:color="auto"/>
        <w:bottom w:val="none" w:sz="0" w:space="0" w:color="auto"/>
        <w:right w:val="none" w:sz="0" w:space="0" w:color="auto"/>
      </w:divBdr>
    </w:div>
    <w:div w:id="237322804">
      <w:bodyDiv w:val="1"/>
      <w:marLeft w:val="0"/>
      <w:marRight w:val="0"/>
      <w:marTop w:val="0"/>
      <w:marBottom w:val="0"/>
      <w:divBdr>
        <w:top w:val="none" w:sz="0" w:space="0" w:color="auto"/>
        <w:left w:val="none" w:sz="0" w:space="0" w:color="auto"/>
        <w:bottom w:val="none" w:sz="0" w:space="0" w:color="auto"/>
        <w:right w:val="none" w:sz="0" w:space="0" w:color="auto"/>
      </w:divBdr>
    </w:div>
    <w:div w:id="244415018">
      <w:bodyDiv w:val="1"/>
      <w:marLeft w:val="0"/>
      <w:marRight w:val="0"/>
      <w:marTop w:val="0"/>
      <w:marBottom w:val="0"/>
      <w:divBdr>
        <w:top w:val="none" w:sz="0" w:space="0" w:color="auto"/>
        <w:left w:val="none" w:sz="0" w:space="0" w:color="auto"/>
        <w:bottom w:val="none" w:sz="0" w:space="0" w:color="auto"/>
        <w:right w:val="none" w:sz="0" w:space="0" w:color="auto"/>
      </w:divBdr>
      <w:divsChild>
        <w:div w:id="139076338">
          <w:marLeft w:val="0"/>
          <w:marRight w:val="0"/>
          <w:marTop w:val="0"/>
          <w:marBottom w:val="0"/>
          <w:divBdr>
            <w:top w:val="single" w:sz="2" w:space="0" w:color="auto"/>
            <w:left w:val="single" w:sz="2" w:space="0" w:color="auto"/>
            <w:bottom w:val="single" w:sz="2" w:space="0" w:color="auto"/>
            <w:right w:val="single" w:sz="2" w:space="0" w:color="auto"/>
          </w:divBdr>
        </w:div>
        <w:div w:id="572592877">
          <w:marLeft w:val="0"/>
          <w:marRight w:val="0"/>
          <w:marTop w:val="0"/>
          <w:marBottom w:val="0"/>
          <w:divBdr>
            <w:top w:val="single" w:sz="2" w:space="0" w:color="auto"/>
            <w:left w:val="single" w:sz="2" w:space="0" w:color="auto"/>
            <w:bottom w:val="single" w:sz="2" w:space="0" w:color="auto"/>
            <w:right w:val="single" w:sz="2" w:space="0" w:color="auto"/>
          </w:divBdr>
        </w:div>
      </w:divsChild>
    </w:div>
    <w:div w:id="362438803">
      <w:bodyDiv w:val="1"/>
      <w:marLeft w:val="0"/>
      <w:marRight w:val="0"/>
      <w:marTop w:val="0"/>
      <w:marBottom w:val="0"/>
      <w:divBdr>
        <w:top w:val="none" w:sz="0" w:space="0" w:color="auto"/>
        <w:left w:val="none" w:sz="0" w:space="0" w:color="auto"/>
        <w:bottom w:val="none" w:sz="0" w:space="0" w:color="auto"/>
        <w:right w:val="none" w:sz="0" w:space="0" w:color="auto"/>
      </w:divBdr>
    </w:div>
    <w:div w:id="774835688">
      <w:bodyDiv w:val="1"/>
      <w:marLeft w:val="0"/>
      <w:marRight w:val="0"/>
      <w:marTop w:val="0"/>
      <w:marBottom w:val="0"/>
      <w:divBdr>
        <w:top w:val="none" w:sz="0" w:space="0" w:color="auto"/>
        <w:left w:val="none" w:sz="0" w:space="0" w:color="auto"/>
        <w:bottom w:val="none" w:sz="0" w:space="0" w:color="auto"/>
        <w:right w:val="none" w:sz="0" w:space="0" w:color="auto"/>
      </w:divBdr>
    </w:div>
    <w:div w:id="788861461">
      <w:bodyDiv w:val="1"/>
      <w:marLeft w:val="0"/>
      <w:marRight w:val="0"/>
      <w:marTop w:val="0"/>
      <w:marBottom w:val="0"/>
      <w:divBdr>
        <w:top w:val="none" w:sz="0" w:space="0" w:color="auto"/>
        <w:left w:val="none" w:sz="0" w:space="0" w:color="auto"/>
        <w:bottom w:val="none" w:sz="0" w:space="0" w:color="auto"/>
        <w:right w:val="none" w:sz="0" w:space="0" w:color="auto"/>
      </w:divBdr>
    </w:div>
    <w:div w:id="1066226567">
      <w:bodyDiv w:val="1"/>
      <w:marLeft w:val="0"/>
      <w:marRight w:val="0"/>
      <w:marTop w:val="0"/>
      <w:marBottom w:val="0"/>
      <w:divBdr>
        <w:top w:val="none" w:sz="0" w:space="0" w:color="auto"/>
        <w:left w:val="none" w:sz="0" w:space="0" w:color="auto"/>
        <w:bottom w:val="none" w:sz="0" w:space="0" w:color="auto"/>
        <w:right w:val="none" w:sz="0" w:space="0" w:color="auto"/>
      </w:divBdr>
    </w:div>
    <w:div w:id="1368219458">
      <w:bodyDiv w:val="1"/>
      <w:marLeft w:val="0"/>
      <w:marRight w:val="0"/>
      <w:marTop w:val="0"/>
      <w:marBottom w:val="0"/>
      <w:divBdr>
        <w:top w:val="none" w:sz="0" w:space="0" w:color="auto"/>
        <w:left w:val="none" w:sz="0" w:space="0" w:color="auto"/>
        <w:bottom w:val="none" w:sz="0" w:space="0" w:color="auto"/>
        <w:right w:val="none" w:sz="0" w:space="0" w:color="auto"/>
      </w:divBdr>
    </w:div>
    <w:div w:id="1427534518">
      <w:bodyDiv w:val="1"/>
      <w:marLeft w:val="0"/>
      <w:marRight w:val="0"/>
      <w:marTop w:val="0"/>
      <w:marBottom w:val="0"/>
      <w:divBdr>
        <w:top w:val="none" w:sz="0" w:space="0" w:color="auto"/>
        <w:left w:val="none" w:sz="0" w:space="0" w:color="auto"/>
        <w:bottom w:val="none" w:sz="0" w:space="0" w:color="auto"/>
        <w:right w:val="none" w:sz="0" w:space="0" w:color="auto"/>
      </w:divBdr>
    </w:div>
    <w:div w:id="1540699303">
      <w:bodyDiv w:val="1"/>
      <w:marLeft w:val="0"/>
      <w:marRight w:val="0"/>
      <w:marTop w:val="0"/>
      <w:marBottom w:val="0"/>
      <w:divBdr>
        <w:top w:val="none" w:sz="0" w:space="0" w:color="auto"/>
        <w:left w:val="none" w:sz="0" w:space="0" w:color="auto"/>
        <w:bottom w:val="none" w:sz="0" w:space="0" w:color="auto"/>
        <w:right w:val="none" w:sz="0" w:space="0" w:color="auto"/>
      </w:divBdr>
    </w:div>
    <w:div w:id="1818456440">
      <w:bodyDiv w:val="1"/>
      <w:marLeft w:val="0"/>
      <w:marRight w:val="0"/>
      <w:marTop w:val="0"/>
      <w:marBottom w:val="0"/>
      <w:divBdr>
        <w:top w:val="none" w:sz="0" w:space="0" w:color="auto"/>
        <w:left w:val="none" w:sz="0" w:space="0" w:color="auto"/>
        <w:bottom w:val="none" w:sz="0" w:space="0" w:color="auto"/>
        <w:right w:val="none" w:sz="0" w:space="0" w:color="auto"/>
      </w:divBdr>
      <w:divsChild>
        <w:div w:id="918515442">
          <w:marLeft w:val="0"/>
          <w:marRight w:val="0"/>
          <w:marTop w:val="0"/>
          <w:marBottom w:val="0"/>
          <w:divBdr>
            <w:top w:val="none" w:sz="0" w:space="0" w:color="auto"/>
            <w:left w:val="none" w:sz="0" w:space="0" w:color="auto"/>
            <w:bottom w:val="none" w:sz="0" w:space="0" w:color="auto"/>
            <w:right w:val="none" w:sz="0" w:space="0" w:color="auto"/>
          </w:divBdr>
        </w:div>
        <w:div w:id="1852179321">
          <w:marLeft w:val="0"/>
          <w:marRight w:val="0"/>
          <w:marTop w:val="0"/>
          <w:marBottom w:val="0"/>
          <w:divBdr>
            <w:top w:val="none" w:sz="0" w:space="0" w:color="auto"/>
            <w:left w:val="none" w:sz="0" w:space="0" w:color="auto"/>
            <w:bottom w:val="none" w:sz="0" w:space="0" w:color="auto"/>
            <w:right w:val="none" w:sz="0" w:space="0" w:color="auto"/>
          </w:divBdr>
        </w:div>
        <w:div w:id="795831277">
          <w:marLeft w:val="0"/>
          <w:marRight w:val="0"/>
          <w:marTop w:val="0"/>
          <w:marBottom w:val="0"/>
          <w:divBdr>
            <w:top w:val="none" w:sz="0" w:space="0" w:color="auto"/>
            <w:left w:val="none" w:sz="0" w:space="0" w:color="auto"/>
            <w:bottom w:val="none" w:sz="0" w:space="0" w:color="auto"/>
            <w:right w:val="none" w:sz="0" w:space="0" w:color="auto"/>
          </w:divBdr>
        </w:div>
        <w:div w:id="44530675">
          <w:marLeft w:val="0"/>
          <w:marRight w:val="0"/>
          <w:marTop w:val="0"/>
          <w:marBottom w:val="0"/>
          <w:divBdr>
            <w:top w:val="none" w:sz="0" w:space="0" w:color="auto"/>
            <w:left w:val="none" w:sz="0" w:space="0" w:color="auto"/>
            <w:bottom w:val="none" w:sz="0" w:space="0" w:color="auto"/>
            <w:right w:val="none" w:sz="0" w:space="0" w:color="auto"/>
          </w:divBdr>
        </w:div>
        <w:div w:id="299464069">
          <w:marLeft w:val="0"/>
          <w:marRight w:val="0"/>
          <w:marTop w:val="0"/>
          <w:marBottom w:val="0"/>
          <w:divBdr>
            <w:top w:val="none" w:sz="0" w:space="0" w:color="auto"/>
            <w:left w:val="none" w:sz="0" w:space="0" w:color="auto"/>
            <w:bottom w:val="none" w:sz="0" w:space="0" w:color="auto"/>
            <w:right w:val="none" w:sz="0" w:space="0" w:color="auto"/>
          </w:divBdr>
          <w:divsChild>
            <w:div w:id="936134061">
              <w:marLeft w:val="0"/>
              <w:marRight w:val="0"/>
              <w:marTop w:val="0"/>
              <w:marBottom w:val="0"/>
              <w:divBdr>
                <w:top w:val="none" w:sz="0" w:space="0" w:color="auto"/>
                <w:left w:val="none" w:sz="0" w:space="0" w:color="auto"/>
                <w:bottom w:val="none" w:sz="0" w:space="0" w:color="auto"/>
                <w:right w:val="none" w:sz="0" w:space="0" w:color="auto"/>
              </w:divBdr>
            </w:div>
          </w:divsChild>
        </w:div>
        <w:div w:id="547913308">
          <w:marLeft w:val="0"/>
          <w:marRight w:val="0"/>
          <w:marTop w:val="0"/>
          <w:marBottom w:val="0"/>
          <w:divBdr>
            <w:top w:val="none" w:sz="0" w:space="0" w:color="auto"/>
            <w:left w:val="none" w:sz="0" w:space="0" w:color="auto"/>
            <w:bottom w:val="none" w:sz="0" w:space="0" w:color="auto"/>
            <w:right w:val="none" w:sz="0" w:space="0" w:color="auto"/>
          </w:divBdr>
        </w:div>
        <w:div w:id="845708680">
          <w:marLeft w:val="0"/>
          <w:marRight w:val="0"/>
          <w:marTop w:val="0"/>
          <w:marBottom w:val="0"/>
          <w:divBdr>
            <w:top w:val="none" w:sz="0" w:space="0" w:color="auto"/>
            <w:left w:val="none" w:sz="0" w:space="0" w:color="auto"/>
            <w:bottom w:val="none" w:sz="0" w:space="0" w:color="auto"/>
            <w:right w:val="none" w:sz="0" w:space="0" w:color="auto"/>
          </w:divBdr>
        </w:div>
      </w:divsChild>
    </w:div>
    <w:div w:id="1885365602">
      <w:bodyDiv w:val="1"/>
      <w:marLeft w:val="0"/>
      <w:marRight w:val="0"/>
      <w:marTop w:val="0"/>
      <w:marBottom w:val="0"/>
      <w:divBdr>
        <w:top w:val="none" w:sz="0" w:space="0" w:color="auto"/>
        <w:left w:val="none" w:sz="0" w:space="0" w:color="auto"/>
        <w:bottom w:val="none" w:sz="0" w:space="0" w:color="auto"/>
        <w:right w:val="none" w:sz="0" w:space="0" w:color="auto"/>
      </w:divBdr>
      <w:divsChild>
        <w:div w:id="1751807594">
          <w:marLeft w:val="0"/>
          <w:marRight w:val="0"/>
          <w:marTop w:val="0"/>
          <w:marBottom w:val="0"/>
          <w:divBdr>
            <w:top w:val="none" w:sz="0" w:space="0" w:color="auto"/>
            <w:left w:val="none" w:sz="0" w:space="0" w:color="auto"/>
            <w:bottom w:val="none" w:sz="0" w:space="0" w:color="auto"/>
            <w:right w:val="none" w:sz="0" w:space="0" w:color="auto"/>
          </w:divBdr>
        </w:div>
        <w:div w:id="2102489627">
          <w:marLeft w:val="0"/>
          <w:marRight w:val="0"/>
          <w:marTop w:val="0"/>
          <w:marBottom w:val="0"/>
          <w:divBdr>
            <w:top w:val="none" w:sz="0" w:space="0" w:color="auto"/>
            <w:left w:val="none" w:sz="0" w:space="0" w:color="auto"/>
            <w:bottom w:val="none" w:sz="0" w:space="0" w:color="auto"/>
            <w:right w:val="none" w:sz="0" w:space="0" w:color="auto"/>
          </w:divBdr>
        </w:div>
        <w:div w:id="414131311">
          <w:marLeft w:val="0"/>
          <w:marRight w:val="0"/>
          <w:marTop w:val="0"/>
          <w:marBottom w:val="0"/>
          <w:divBdr>
            <w:top w:val="none" w:sz="0" w:space="0" w:color="auto"/>
            <w:left w:val="none" w:sz="0" w:space="0" w:color="auto"/>
            <w:bottom w:val="none" w:sz="0" w:space="0" w:color="auto"/>
            <w:right w:val="none" w:sz="0" w:space="0" w:color="auto"/>
          </w:divBdr>
        </w:div>
        <w:div w:id="961962842">
          <w:marLeft w:val="0"/>
          <w:marRight w:val="0"/>
          <w:marTop w:val="0"/>
          <w:marBottom w:val="0"/>
          <w:divBdr>
            <w:top w:val="none" w:sz="0" w:space="0" w:color="auto"/>
            <w:left w:val="none" w:sz="0" w:space="0" w:color="auto"/>
            <w:bottom w:val="none" w:sz="0" w:space="0" w:color="auto"/>
            <w:right w:val="none" w:sz="0" w:space="0" w:color="auto"/>
          </w:divBdr>
        </w:div>
        <w:div w:id="1717922643">
          <w:marLeft w:val="0"/>
          <w:marRight w:val="0"/>
          <w:marTop w:val="0"/>
          <w:marBottom w:val="0"/>
          <w:divBdr>
            <w:top w:val="none" w:sz="0" w:space="0" w:color="auto"/>
            <w:left w:val="none" w:sz="0" w:space="0" w:color="auto"/>
            <w:bottom w:val="none" w:sz="0" w:space="0" w:color="auto"/>
            <w:right w:val="none" w:sz="0" w:space="0" w:color="auto"/>
          </w:divBdr>
          <w:divsChild>
            <w:div w:id="473177823">
              <w:marLeft w:val="0"/>
              <w:marRight w:val="0"/>
              <w:marTop w:val="0"/>
              <w:marBottom w:val="0"/>
              <w:divBdr>
                <w:top w:val="none" w:sz="0" w:space="0" w:color="auto"/>
                <w:left w:val="none" w:sz="0" w:space="0" w:color="auto"/>
                <w:bottom w:val="none" w:sz="0" w:space="0" w:color="auto"/>
                <w:right w:val="none" w:sz="0" w:space="0" w:color="auto"/>
              </w:divBdr>
            </w:div>
          </w:divsChild>
        </w:div>
        <w:div w:id="1933735744">
          <w:marLeft w:val="0"/>
          <w:marRight w:val="0"/>
          <w:marTop w:val="0"/>
          <w:marBottom w:val="0"/>
          <w:divBdr>
            <w:top w:val="none" w:sz="0" w:space="0" w:color="auto"/>
            <w:left w:val="none" w:sz="0" w:space="0" w:color="auto"/>
            <w:bottom w:val="none" w:sz="0" w:space="0" w:color="auto"/>
            <w:right w:val="none" w:sz="0" w:space="0" w:color="auto"/>
          </w:divBdr>
        </w:div>
        <w:div w:id="275866694">
          <w:marLeft w:val="0"/>
          <w:marRight w:val="0"/>
          <w:marTop w:val="0"/>
          <w:marBottom w:val="0"/>
          <w:divBdr>
            <w:top w:val="none" w:sz="0" w:space="0" w:color="auto"/>
            <w:left w:val="none" w:sz="0" w:space="0" w:color="auto"/>
            <w:bottom w:val="none" w:sz="0" w:space="0" w:color="auto"/>
            <w:right w:val="none" w:sz="0" w:space="0" w:color="auto"/>
          </w:divBdr>
        </w:div>
      </w:divsChild>
    </w:div>
    <w:div w:id="1978804601">
      <w:bodyDiv w:val="1"/>
      <w:marLeft w:val="0"/>
      <w:marRight w:val="0"/>
      <w:marTop w:val="0"/>
      <w:marBottom w:val="0"/>
      <w:divBdr>
        <w:top w:val="none" w:sz="0" w:space="0" w:color="auto"/>
        <w:left w:val="none" w:sz="0" w:space="0" w:color="auto"/>
        <w:bottom w:val="none" w:sz="0" w:space="0" w:color="auto"/>
        <w:right w:val="none" w:sz="0" w:space="0" w:color="auto"/>
      </w:divBdr>
    </w:div>
    <w:div w:id="1992513912">
      <w:bodyDiv w:val="1"/>
      <w:marLeft w:val="0"/>
      <w:marRight w:val="0"/>
      <w:marTop w:val="0"/>
      <w:marBottom w:val="0"/>
      <w:divBdr>
        <w:top w:val="none" w:sz="0" w:space="0" w:color="auto"/>
        <w:left w:val="none" w:sz="0" w:space="0" w:color="auto"/>
        <w:bottom w:val="none" w:sz="0" w:space="0" w:color="auto"/>
        <w:right w:val="none" w:sz="0" w:space="0" w:color="auto"/>
      </w:divBdr>
    </w:div>
    <w:div w:id="2007852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aeropay.com/blog/pay-by-bank-merchant-cost-comparison" TargetMode="External"/><Relationship Id="rId7" Type="http://schemas.openxmlformats.org/officeDocument/2006/relationships/hyperlink" Target="https://fdata.global/blog/2025/05/30/fdata-north-america-rejects-cfpbs-new-interpretation-of-section-1033-citing-trump-treasurys-support-for-third-party-data-access/" TargetMode="External"/><Relationship Id="rId2" Type="http://schemas.openxmlformats.org/officeDocument/2006/relationships/hyperlink" Target="https://www.brookings.edu/articles/economic-impact-payments-uses-payment-methods-and-costs-to-recipients/" TargetMode="External"/><Relationship Id="rId1" Type="http://schemas.openxmlformats.org/officeDocument/2006/relationships/hyperlink" Target="https://www.fincen.gov/news/news-releases/fincen-alert-nationwide-surge-mail-theft-related-check-fraud-schemes-targeting" TargetMode="External"/><Relationship Id="rId6" Type="http://schemas.openxmlformats.org/officeDocument/2006/relationships/hyperlink" Target="https://financialservices.house.gov/news/documentsingle.aspx?DocumentID=409400" TargetMode="External"/><Relationship Id="rId5" Type="http://schemas.openxmlformats.org/officeDocument/2006/relationships/hyperlink" Target="https://home.treasury.gov/sites/default/files/2018-07/A-Financial-System-that-Creates-Economic-Opportunities---Nonbank-Financi....pdf" TargetMode="External"/><Relationship Id="rId4" Type="http://schemas.openxmlformats.org/officeDocument/2006/relationships/hyperlink" Target="https://mcusercontent.com/d62b8c1570b4b45285fbb8f4b/files/ee99e692-30e0-0975-5a0d-ae59dc835cd8/58_1_7_35_31_.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fdata.global/north-america"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0Cu1yzSMP/L2Ytw/3nqT466Evjg==">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</go:docsCustomData>
</go:gDocsCustomXmlDataStorage>
</file>

<file path=customXml/itemProps1.xml><?xml version="1.0" encoding="utf-8"?>
<ds:datastoreItem xmlns:ds="http://schemas.openxmlformats.org/officeDocument/2006/customXml" ds:itemID="{4FE7D523-2807-AD46-853A-8D5EB35518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Santopietro</dc:creator>
  <cp:lastModifiedBy>Laine Williams</cp:lastModifiedBy>
  <cp:revision>4</cp:revision>
  <cp:lastPrinted>2023-11-13T23:05:00Z</cp:lastPrinted>
  <dcterms:created xsi:type="dcterms:W3CDTF">2025-06-26T15:43:00Z</dcterms:created>
  <dcterms:modified xsi:type="dcterms:W3CDTF">2025-06-30T15:47:00Z</dcterms:modified>
</cp:coreProperties>
</file>